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Enderecamento"/>
      </w:pPr>
      <w:r>
        <w:t xml:space="preserve">NOTIFICAÇÃO EXTRAJUDICIAL</w:t>
      </w:r>
    </w:p>
    <w:p>
      <w:pPr>
        <w:pStyle w:val="Normal"/>
      </w:pPr>
      <w:r>
        <w:t xml:space="preserve">Destinatária: </w:t>
      </w:r>
      <w:r>
        <w:rPr>
          <w:b/>
        </w:rPr>
        <w:t xml:space="preserve">SAÚDE IPÊ FICTÍCIA S.A.</w:t>
      </w:r>
      <w:r>
        <w:t xml:space="preserve">, operadora comercial, não autogestão, CNPJ fictício 00.000.000/0001-28, Rua das Simulações, 280, Santos/SP, CEP fictício 00000-280.</w:t>
      </w:r>
    </w:p>
    <w:p>
      <w:pPr>
        <w:pStyle w:val="Normal"/>
      </w:pPr>
      <w:r>
        <w:t xml:space="preserve">Notificante: </w:t>
      </w:r>
      <w:r>
        <w:rPr>
          <w:b/>
        </w:rPr>
        <w:t xml:space="preserve">RAFAEL FICTÍCIO CEDRO</w:t>
      </w:r>
      <w:r>
        <w:t xml:space="preserve">, brasileiro, casado, professor, CPF fictício 000.000.000-00, Rua dos Ensaios, 28, Santos/SP, CEP fictício 00000-028.</w:t>
      </w:r>
    </w:p>
    <w:p>
      <w:pPr>
        <w:pStyle w:val="Secao"/>
      </w:pPr>
      <w:r>
        <w:t xml:space="preserve">I – DOS FATOS</w:t>
      </w:r>
    </w:p>
    <w:p>
      <w:pPr>
        <w:pStyle w:val="Normal"/>
      </w:pPr>
      <w:r>
        <w:t xml:space="preserve">Em 03/10/2026, foi prescrita à parte Notificante ressonância do joelho por dor persistente, sem relato de urgência, emergência ou risco de morte (DOC. 01). Em 05/10/2026, a parte Notificada negou a autorização do exame de forma genérica, sob alegação de falta de cobertura (DOC. 02). O contrato informado prevê exames de diagnóstico e indica carências cumpridas, sem descrição de exclusões específicas nos documentos apresentados (DOC. 03).</w:t>
      </w:r>
    </w:p>
    <w:p>
      <w:pPr>
        <w:pStyle w:val="Secao"/>
      </w:pPr>
      <w:r>
        <w:t xml:space="preserve">II – DOS FUNDAMENTOS</w:t>
      </w:r>
    </w:p>
    <w:p>
      <w:pPr>
        <w:pStyle w:val="Normal"/>
      </w:pPr>
      <w:r>
        <w:t xml:space="preserve">A parte Notificante recebeu prescrição de ressonância do joelho em 03/10/2026, por dor persistente (DOC. 01). Em 05/10/2026, a parte Notificada negou a autorização com justificativa genérica de “falta de cobertura” (DOC. 02), embora o contrato apresentado preveja exames de diagnóstico e registre carências cumpridas, sem descrição, nos documentos apresentados, de exclusão específica para o exame (DOC. 03).</w:t>
      </w:r>
    </w:p>
    <w:p>
      <w:pPr>
        <w:pStyle w:val="Normal"/>
      </w:pPr>
      <w:r>
        <w:t xml:space="preserve">Em relação de consumo mantida com operadora comercial, a recusa sem indicação da cláusula contratual aplicável contraria o dever de informação adequada e clara </w:t>
      </w:r>
      <w:r>
        <w:t xml:space="preserve">art. 6º, III, do CDC</w:t>
      </w:r>
      <w:r>
        <w:t xml:space="preserve">, a boa-fé objetiva </w:t>
      </w:r>
      <w:r>
        <w:t xml:space="preserve">art. 422 do Código Civil</w:t>
      </w:r>
      <w:r>
        <w:t xml:space="preserve"> e a interpretação mais favorável ao consumidor </w:t>
      </w:r>
      <w:r>
        <w:t xml:space="preserve">art. 47 do CDC</w:t>
      </w:r>
      <w:r>
        <w:t xml:space="preserve">. Por isso, impõe-se a reavaliação administrativa imediata da negativa e, se mantida, sua formalização escrita e fundamentada.</w:t>
      </w:r>
    </w:p>
    <w:p>
      <w:pPr>
        <w:pStyle w:val="Secao"/>
      </w:pPr>
      <w:r>
        <w:t xml:space="preserve">III – DOS PEDIDOS, PRAZO E CONSEQUÊNCIA</w:t>
      </w:r>
    </w:p>
    <w:p>
      <w:pPr>
        <w:pStyle w:val="Normal"/>
      </w:pPr>
      <w:r>
        <w:t xml:space="preserve">Ante o exposto, requer a parte Notificante:</w:t>
      </w:r>
    </w:p>
    <w:p>
      <w:pPr>
        <w:pStyle w:val="Normal"/>
      </w:pPr>
      <w:r>
        <w:t xml:space="preserve">a) a reanálise da recusa comunicada em 05/10/2026 e a autorização do exame de ressonância do joelho prescrito à parte Notificante;</w:t>
      </w:r>
    </w:p>
    <w:p>
      <w:pPr>
        <w:pStyle w:val="Normal"/>
      </w:pPr>
      <w:r>
        <w:t xml:space="preserve">b) que a autorização seja emitida no prazo de 5 dias úteis, contados do recebimento desta notificação;</w:t>
      </w:r>
    </w:p>
    <w:p>
      <w:pPr>
        <w:pStyle w:val="Normal"/>
      </w:pPr>
      <w:r>
        <w:t xml:space="preserve">c) se mantida a recusa, o fornecimento, no mesmo prazo, de negativa escrita e fundamentada, com i) o motivo específico; ii) a cláusula contratual invocada; iii) a regra aplicável;</w:t>
      </w:r>
    </w:p>
    <w:p>
      <w:pPr>
        <w:pStyle w:val="Normal"/>
      </w:pPr>
      <w:r>
        <w:t xml:space="preserve">d) não havendo solução no prazo assinalado, a parte Notificante avaliará a adoção das medidas administrativas e judiciais cabíveis.</w:t>
      </w:r>
    </w:p>
    <w:p>
      <w:pPr>
        <w:pStyle w:val="Centro"/>
      </w:pPr>
      <w:r>
        <w:rPr>
          <w:b/>
          <w:highlight w:val="yellow"/>
        </w:rPr>
        <w:t xml:space="preserve">[PREENCHER: local e data]</w:t>
      </w:r>
    </w:p>
    <w:p>
      <w:pPr>
        <w:pStyle w:val="Centro"/>
      </w:pPr>
      <w:r>
        <w:rPr>
          <w:b/>
          <w:highlight w:val="yellow"/>
        </w:rPr>
        <w:t xml:space="preserve">[PREENCHER: nome do advogado e número da OAB]</w:t>
      </w:r>
    </w:p>
    <w:p>
      <w:pPr>
        <w:pStyle w:val="Secao"/>
      </w:pPr>
      <w:r>
        <w:t xml:space="preserve">DOCUMENTOS ANEXOS</w:t>
      </w:r>
    </w:p>
    <w:p>
      <w:pPr>
        <w:pStyle w:val="Normal"/>
      </w:pPr>
      <w:r>
        <w:t xml:space="preserve">DOC. 01 – Prescrição fictícia</w:t>
      </w:r>
    </w:p>
    <w:p>
      <w:pPr>
        <w:pStyle w:val="Normal"/>
      </w:pPr>
      <w:r>
        <w:t xml:space="preserve">DOC. 02 – Recusa fictícia da operadora</w:t>
      </w:r>
    </w:p>
    <w:p>
      <w:pPr>
        <w:pStyle w:val="Normal"/>
      </w:pPr>
      <w:r>
        <w:t xml:space="preserve">DOC. 03 – Contrato fictício</w:t>
      </w:r>
    </w:p>
    <w:p>
      <w:pPr>
        <w:pStyle w:val="Normal"/>
      </w:pPr>
      <w:r>
        <w:t xml:space="preserve">DOC. 04 – Procuração fictícia</w:t>
      </w:r>
    </w:p>
    <w:sectPr>
      <w:pgSz w:w="11906" w:h="16838"/>
      <w:pgMar w:top="1701" w:right="1134" w:bottom="1134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pt-BR"/>
      </w:rPr>
    </w:rPrDefault>
    <w:pPrDefault>
      <w:pPr>
        <w:spacing w:after="160" w:line="360" w:lineRule="auto"/>
        <w:jc w:val="both"/>
      </w:pPr>
    </w:pPrDefault>
  </w:docDefaults>
  <w:style w:type="paragraph" w:default="1" w:styleId="Normal">
    <w:name w:val="Normal"/>
    <w:pPr>
      <w:ind w:firstLine="1418"/>
    </w:pPr>
  </w:style>
  <w:style w:type="paragraph" w:styleId="Enderecamento">
    <w:name w:val="Endereçamento"/>
    <w:basedOn w:val="Normal"/>
    <w:pPr>
      <w:spacing w:after="960"/>
      <w:ind w:firstLine="0"/>
    </w:pPr>
    <w:rPr>
      <w:b/>
    </w:rPr>
  </w:style>
  <w:style w:type="paragraph" w:styleId="Secao">
    <w:name w:val="Seção"/>
    <w:basedOn w:val="Normal"/>
    <w:pPr>
      <w:keepNext/>
      <w:spacing w:before="360" w:after="160"/>
      <w:ind w:firstLine="0"/>
      <w:jc w:val="left"/>
      <w:outlineLvl w:val="0"/>
    </w:pPr>
    <w:rPr>
      <w:b/>
    </w:rPr>
  </w:style>
  <w:style w:type="paragraph" w:styleId="Capitulo">
    <w:name w:val="Capítulo"/>
    <w:basedOn w:val="Normal"/>
    <w:pPr>
      <w:keepNext/>
      <w:spacing w:before="240" w:after="160"/>
      <w:ind w:firstLine="0"/>
      <w:jc w:val="left"/>
      <w:outlineLvl w:val="1"/>
    </w:pPr>
    <w:rPr>
      <w:b/>
    </w:rPr>
  </w:style>
  <w:style w:type="paragraph" w:styleId="Lei">
    <w:name w:val="Lei transcrita"/>
    <w:basedOn w:val="Normal"/>
    <w:pPr>
      <w:spacing w:after="120" w:line="240" w:lineRule="auto"/>
      <w:ind w:left="2268" w:firstLine="0"/>
    </w:pPr>
    <w:rPr>
      <w:sz w:val="20"/>
      <w:szCs w:val="20"/>
    </w:rPr>
  </w:style>
  <w:style w:type="paragraph" w:styleId="Centro">
    <w:name w:val="Centralizado"/>
    <w:basedOn w:val="Normal"/>
    <w:pPr>
      <w:ind w:firstLine="0"/>
      <w:jc w:val="center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