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Enderecamento"/>
      </w:pPr>
      <w:r>
        <w:t xml:space="preserve">AO JUÍZO DE DIREITO DA 2ª VARA CÍVEL DE CAMPINAS/SP</w:t>
      </w:r>
    </w:p>
    <w:p>
      <w:pPr>
        <w:pStyle w:val="Normal"/>
      </w:pPr>
      <w:r>
        <w:t xml:space="preserve">Processo nº 1000029-00.2026.8.26.0000</w:t>
      </w:r>
    </w:p>
    <w:p>
      <w:pPr>
        <w:pStyle w:val="Normal"/>
      </w:pPr>
      <w:r>
        <w:rPr>
          <w:b/>
        </w:rPr>
        <w:t xml:space="preserve">CLARA FICTÍCIA RAMOS</w:t>
      </w:r>
      <w:r>
        <w:t xml:space="preserve">, parte já qualificada nos autos, por sua representação processual, vem interpor apelação contra a sentença, em face de </w:t>
      </w:r>
      <w:r>
        <w:rPr>
          <w:b/>
        </w:rPr>
        <w:t xml:space="preserve">LOJA HORIZONTE FICTÍCIA LTDA.</w:t>
      </w:r>
      <w:r>
        <w:t xml:space="preserve">, pelos fundamentos a seguir.</w:t>
      </w:r>
    </w:p>
    <w:p>
      <w:pPr>
        <w:pStyle w:val="Centro"/>
      </w:pPr>
      <w:r>
        <w:rPr>
          <w:b/>
        </w:rPr>
        <w:t xml:space="preserve">APELAÇÃO</w:t>
      </w:r>
    </w:p>
    <w:p>
      <w:pPr>
        <w:pStyle w:val="Normal"/>
      </w:pPr>
      <w:r>
        <w:t xml:space="preserve">Requer o recebimento da apelação, a intimação da parte apelada para contrarrazões e a remessa ao Tribunal competente, nos termos dos </w:t>
      </w:r>
      <w:r>
        <w:t xml:space="preserve">arts. 1.009 e 1.010 do CPC</w:t>
      </w:r>
      <w:r>
        <w:t xml:space="preserve">.</w:t>
      </w:r>
    </w:p>
    <w:p>
      <w:pPr>
        <w:pStyle w:val="Normal"/>
      </w:pPr>
      <w:r>
        <w:t xml:space="preserve">Tempestividade: </w:t>
      </w:r>
      <w:r>
        <w:t xml:space="preserve">art. 1.003, § 5º, do CPC</w:t>
      </w:r>
      <w:r>
        <w:t xml:space="preserve"> e </w:t>
      </w:r>
      <w:r>
        <w:t xml:space="preserve">art. 219 do CPC</w:t>
      </w:r>
      <w:r>
        <w:t xml:space="preserve">. </w:t>
      </w:r>
      <w:r>
        <w:rPr>
          <w:b/>
          <w:highlight w:val="yellow"/>
        </w:rPr>
        <w:t xml:space="preserve">[CONFERIR: data da intimação]</w:t>
      </w:r>
      <w:r>
        <w:t xml:space="preserve"> </w:t>
      </w:r>
      <w:r>
        <w:rPr>
          <w:b/>
          <w:highlight w:val="yellow"/>
        </w:rPr>
        <w:t xml:space="preserve">[CONFERIR: calendário, suspensões e data de protocolo para verificar a tempestividade]</w:t>
      </w:r>
    </w:p>
    <w:p>
      <w:pPr>
        <w:pStyle w:val="Normal"/>
      </w:pPr>
      <w:r>
        <w:t xml:space="preserve">Preparo: </w:t>
      </w:r>
      <w:r>
        <w:t xml:space="preserve">art. 1.007 do CPC</w:t>
      </w:r>
      <w:r>
        <w:t xml:space="preserve">. </w:t>
      </w:r>
      <w:r>
        <w:rPr>
          <w:b/>
          <w:highlight w:val="yellow"/>
        </w:rPr>
        <w:t xml:space="preserve">[CONFERIR: preparo ou gratuidade e comprovante]</w:t>
      </w:r>
    </w:p>
    <w:p>
      <w:pPr>
        <w:pStyle w:val="Enderecamento"/>
      </w:pPr>
      <w:r>
        <w:t xml:space="preserve">AO TRIBUNAL DE JUSTIÇA DE SÃO PAULO</w:t>
      </w:r>
    </w:p>
    <w:p>
      <w:pPr>
        <w:pStyle w:val="Centro"/>
      </w:pPr>
      <w:r>
        <w:rPr>
          <w:b/>
        </w:rPr>
        <w:t xml:space="preserve">RAZÕES DE APELAÇÃO</w:t>
      </w:r>
    </w:p>
    <w:p>
      <w:pPr>
        <w:pStyle w:val="Normal"/>
      </w:pPr>
      <w:r>
        <w:t xml:space="preserve">Parte apelante: </w:t>
      </w:r>
      <w:r>
        <w:rPr>
          <w:b/>
        </w:rPr>
        <w:t xml:space="preserve">CLARA FICTÍCIA RAMOS</w:t>
      </w:r>
      <w:r>
        <w:t xml:space="preserve">. Parte apelada: </w:t>
      </w:r>
      <w:r>
        <w:rPr>
          <w:b/>
        </w:rPr>
        <w:t xml:space="preserve">LOJA HORIZONTE FICTÍCIA LTDA.</w:t>
      </w:r>
      <w:r>
        <w:t xml:space="preserve">. Processo nº 1000029-00.2026.8.26.0000.</w:t>
      </w:r>
    </w:p>
    <w:p>
      <w:pPr>
        <w:pStyle w:val="Secao"/>
      </w:pPr>
      <w:r>
        <w:t xml:space="preserve">I – SÍNTESE DO PROCESSO E DA SENTENÇA</w:t>
      </w:r>
    </w:p>
    <w:p>
      <w:pPr>
        <w:pStyle w:val="Normal"/>
      </w:pPr>
      <w:r>
        <w:t xml:space="preserve">A parte Apelante adquiriu uma geladeira da parte Apelada por R$ 3.200,00 em 10/03/2026 (DOC. 01). A ação foi proposta apenas para obter a restituição simples desse valor, sem pedido de dano moral.</w:t>
      </w:r>
    </w:p>
    <w:p>
      <w:pPr>
        <w:pStyle w:val="Normal"/>
      </w:pPr>
      <w:r>
        <w:t xml:space="preserve">O produto foi entregue à assistência em 15/03/2026, sem data de saída na ordem de serviço (DOC. 02). Em 30/06/2026, a assistência informou que a geladeira não havia sido reparada nem devolvida (DOC. 03).</w:t>
      </w:r>
    </w:p>
    <w:p>
      <w:pPr>
        <w:pStyle w:val="Normal"/>
      </w:pPr>
      <w:r>
        <w:t xml:space="preserve">A sentença julgou improcedente o pedido de restituição de R$ 3.200,00 por dois fundamentos autônomos: entendeu que somente a fabricante responderia pelo vício do produto e considerou não comprovado o decurso do prazo de trinta dias para saneamento. Para isso, qualificou a ordem de serviço como simples orçamento, deixou de examinar a mensagem de 30/06/2026 e não apreciou o requerimento de gratuidade da justiça.</w:t>
      </w:r>
    </w:p>
    <w:p>
      <w:pPr>
        <w:pStyle w:val="Secao"/>
      </w:pPr>
      <w:r>
        <w:t xml:space="preserve">II – DAS RAZÕES DE REFORMA OU ANULAÇÃO</w:t>
      </w:r>
    </w:p>
    <w:p>
      <w:pPr>
        <w:pStyle w:val="Capitulo"/>
      </w:pPr>
      <w:r>
        <w:t xml:space="preserve">II.1 – Apreciação do pedido de gratuidade da justiça não examinado na sentença</w:t>
      </w:r>
    </w:p>
    <w:p>
      <w:pPr>
        <w:pStyle w:val="Normal"/>
      </w:pPr>
      <w:r>
        <w:t xml:space="preserve">A parte Apelante requereu a gratuidade da justiça, mas a sentença, embora tenha julgado o mérito, nada decidiu sobre esse requerimento. Há, portanto, omissão processualmente relevante, porque a ausência de apreciação do benefício interfere diretamente no processamento da apelação e na verificação do preparo, especialmente quando o próprio caso registra ausência de dados de intimação e de recolhimento a conferir. Não se trata de pedido novo, mas de exame de requerimento já formulado, nos termos de </w:t>
      </w:r>
      <w:r>
        <w:t xml:space="preserve">art. 98 do CPC</w:t>
      </w:r>
      <w:r>
        <w:t xml:space="preserve"> e </w:t>
      </w:r>
      <w:r>
        <w:t xml:space="preserve">art. 1.007 do CPC</w:t>
      </w:r>
      <w:r>
        <w:t xml:space="preserve">.</w:t>
      </w:r>
    </w:p>
    <w:p>
      <w:pPr>
        <w:pStyle w:val="Normal"/>
      </w:pPr>
      <w:r>
        <w:t xml:space="preserve">O regime legal aplicável é expresso:</w:t>
      </w:r>
    </w:p>
    <w:p>
      <w:pPr>
        <w:pStyle w:val="Lei"/>
      </w:pPr>
      <w:r>
        <w:t xml:space="preserve">"Art. 99. O pedido de gratuidade da justiça pode ser formulado na petição inicial, na contestação, na petição para ingresso de terceiro no processo ou em recurso." (</w:t>
      </w:r>
      <w:r>
        <w:t xml:space="preserve">art. 99 do CPC</w:t>
      </w:r>
      <w:r>
        <w:t xml:space="preserve">)</w:t>
      </w:r>
    </w:p>
    <w:p>
      <w:pPr>
        <w:pStyle w:val="Normal"/>
      </w:pPr>
      <w:r>
        <w:t xml:space="preserve">Assim, a omissão deve ser suprida para que o recurso tenha regular processamento, com apreciação prévia do pedido de gratuidade ou, se necessário, com a providência processual cabível quanto ao preparo, sem impor à parte Apelante prejuízo decorrente da falta de exame de questão já submetida ao juízo. A reforma, nesse ponto, é necessária para determinar a apreciação do benefício requerido, preservando a admissibilidade recursal em conformidade com </w:t>
      </w:r>
      <w:r>
        <w:t xml:space="preserve">art. 99 do CPC</w:t>
      </w:r>
      <w:r>
        <w:t xml:space="preserve"> e </w:t>
      </w:r>
      <w:r>
        <w:t xml:space="preserve">art. 1.007 do CPC</w:t>
      </w:r>
      <w:r>
        <w:t xml:space="preserve">.</w:t>
      </w:r>
    </w:p>
    <w:p>
      <w:pPr>
        <w:pStyle w:val="Capitulo"/>
      </w:pPr>
      <w:r>
        <w:t xml:space="preserve">II.2 – Responsabilidade solidária da comerciante pelo vício do produto</w:t>
      </w:r>
    </w:p>
    <w:p>
      <w:pPr>
        <w:pStyle w:val="Normal"/>
      </w:pPr>
      <w:r>
        <w:t xml:space="preserve">A geladeira foi adquirida pela parte Apelante diretamente da parte Apelada, por R$ 3.200,00, em relação de consumo documentada pela nota fiscal (DOC. 01). A sentença afastou a restituição por entender que apenas a fabricante responderia pelo vício, mas esse fundamento não se sustenta: a parte Apelada integrou a cadeia de fornecimento ao comercializar o produto e receber o preço, enquadrando-se como fornecedora nos termos de </w:t>
      </w:r>
      <w:r>
        <w:t xml:space="preserve">art. 3º do CDC</w:t>
      </w:r>
      <w:r>
        <w:t xml:space="preserve">, enquanto a parte Apelante é consumidora na forma de </w:t>
      </w:r>
      <w:r>
        <w:t xml:space="preserve">art. 2º do CDC</w:t>
      </w:r>
      <w:r>
        <w:t xml:space="preserve">.</w:t>
      </w:r>
    </w:p>
    <w:p>
      <w:pPr>
        <w:pStyle w:val="Normal"/>
      </w:pPr>
      <w:r>
        <w:t xml:space="preserve">A disciplina aplicável ao caso é a do vício do produto, que impõe responsabilidade solidária entre os fornecedores, sem excluir o comerciante que efetuou a venda. O dispositivo pertinente é expresso:</w:t>
      </w:r>
    </w:p>
    <w:p>
      <w:pPr>
        <w:pStyle w:val="Lei"/>
      </w:pPr>
      <w:r>
        <w:t xml:space="preserve">"Art. 18. Os fornecedores de produtos de consumo duráveis ou não duráveis respondem solidariamente pelos vícios de qualidade ou quantidade que os tornem impróprios ou inadequados ao consumo a que se destinam ou lhes diminuam o valor, assim como por aqueles decorrentes da disparidade, com a indicações constantes do recipiente, da embalagem, rotulagem ou mensagem publicitária, respeitadas as variações decorrentes de sua natureza, podendo o consumidor exigir a substituição das partes viciadas." (</w:t>
      </w:r>
      <w:r>
        <w:t xml:space="preserve">art. 18 do CDC</w:t>
      </w:r>
      <w:r>
        <w:t xml:space="preserve">)</w:t>
      </w:r>
    </w:p>
    <w:p>
      <w:pPr>
        <w:pStyle w:val="Normal"/>
      </w:pPr>
      <w:r>
        <w:t xml:space="preserve">Assim, não há base legal para limitar a responsabilidade à fabricante e excluir a parte Apelada da restituição pretendida. Sendo a própria vendedora do bem (DOC. 01), a parte Apelada responde solidariamente pelo vício e, superado esse fundamento da sentença, permanece viável a condenação à restituição simples da quantia paga, exatamente como requerido desde a inicial.</w:t>
      </w:r>
    </w:p>
    <w:p>
      <w:pPr>
        <w:pStyle w:val="Capitulo"/>
      </w:pPr>
      <w:r>
        <w:t xml:space="preserve">II.3 – Comprovação do decurso do prazo de 30 dias sem reparo nem devolução</w:t>
      </w:r>
    </w:p>
    <w:p>
      <w:pPr>
        <w:pStyle w:val="Normal"/>
      </w:pPr>
      <w:r>
        <w:t xml:space="preserve">A geladeira foi recebida pela assistência técnica em 15/03/2026, conforme a ordem de serviço (DOC. 02), e, em 30/06/2026, a própria assistência informou que o produto permanecia sem reparo e sem devolução (DOC. 03). Essa leitura conjunta basta para demonstrar que o prazo de 30 dias para saneamento do vício foi amplamente ultrapassado, atraindo a consequência prevista em </w:t>
      </w:r>
      <w:r>
        <w:t xml:space="preserve">art. 18, § 1º, II, do CDC</w:t>
      </w:r>
      <w:r>
        <w:t xml:space="preserve">. Não procede, portanto, a conclusão de que a ordem de serviço seria insuficiente por ter sido tratada como simples orçamento, porque o ponto relevante do documento é o recebimento do bem para atendimento técnico em 15/03/2026, e não uma nomenclatura isolada.</w:t>
      </w:r>
    </w:p>
    <w:p>
      <w:pPr>
        <w:pStyle w:val="Normal"/>
      </w:pPr>
      <w:r>
        <w:t xml:space="preserve">A sentença também reconheceu que não examinou a mensagem de 30/06/2026, embora ela tenha sido regularmente juntada com a inicial, nos termos de </w:t>
      </w:r>
      <w:r>
        <w:t xml:space="preserve">art. 434 do CPC</w:t>
      </w:r>
      <w:r>
        <w:t xml:space="preserve">. Houve, assim, valoração incompleta da prova documental, em desacordo com o dever de apreciação integral do conjunto probatório:</w:t>
      </w:r>
    </w:p>
    <w:p>
      <w:pPr>
        <w:pStyle w:val="Lei"/>
      </w:pPr>
      <w:r>
        <w:t xml:space="preserve">"Art. 371. O juiz apreciará a prova constante dos autos, independentemente do sujeito que a tiver promovido, e indicará na decisão as razões da formação de seu convencimento." (</w:t>
      </w:r>
      <w:r>
        <w:t xml:space="preserve">art. 371 do CPC</w:t>
      </w:r>
      <w:r>
        <w:t xml:space="preserve">)</w:t>
      </w:r>
    </w:p>
    <w:p>
      <w:pPr>
        <w:pStyle w:val="Normal"/>
      </w:pPr>
      <w:r>
        <w:t xml:space="preserve">Considerados em conjunto (DOC. 02) e (DOC. 03), está comprovado que o vício não foi sanado no prazo legal, o que impõe a reforma desse fundamento autônomo da improcedência.</w:t>
      </w:r>
    </w:p>
    <w:p>
      <w:pPr>
        <w:pStyle w:val="Secao"/>
      </w:pPr>
      <w:r>
        <w:t xml:space="preserve">III – DOS PEDIDOS</w:t>
      </w:r>
    </w:p>
    <w:p>
      <w:pPr>
        <w:pStyle w:val="Normal"/>
      </w:pPr>
      <w:r>
        <w:t xml:space="preserve">Ante o exposto, requer a parte Apelante:</w:t>
      </w:r>
    </w:p>
    <w:p>
      <w:pPr>
        <w:pStyle w:val="Normal"/>
      </w:pPr>
      <w:r>
        <w:t xml:space="preserve">a) o conhecimento da presente apelação, nos termos de </w:t>
      </w:r>
      <w:r>
        <w:t xml:space="preserve">art. 1.009 do CPC</w:t>
      </w:r>
      <w:r>
        <w:t xml:space="preserve">, com processamento na forma de </w:t>
      </w:r>
      <w:r>
        <w:t xml:space="preserve">art. 1.010 do CPC</w:t>
      </w:r>
      <w:r>
        <w:t xml:space="preserve">, observando-se </w:t>
      </w:r>
      <w:r>
        <w:rPr>
          <w:b/>
          <w:highlight w:val="yellow"/>
        </w:rPr>
        <w:t xml:space="preserve">[CONFERIR: data da intimação]</w:t>
      </w:r>
      <w:r>
        <w:t xml:space="preserve">;</w:t>
      </w:r>
    </w:p>
    <w:p>
      <w:pPr>
        <w:pStyle w:val="Normal"/>
      </w:pPr>
      <w:r>
        <w:t xml:space="preserve">b) a apreciação do requerimento de gratuidade da justiça já formulado, para fins de processamento do recurso, com a devida conferência de </w:t>
      </w:r>
      <w:r>
        <w:rPr>
          <w:b/>
          <w:highlight w:val="yellow"/>
        </w:rPr>
        <w:t xml:space="preserve">[CONFERIR: preparo ou gratuidade e comprovante]</w:t>
      </w:r>
      <w:r>
        <w:t xml:space="preserve">;</w:t>
      </w:r>
    </w:p>
    <w:p>
      <w:pPr>
        <w:pStyle w:val="Normal"/>
      </w:pPr>
      <w:r>
        <w:t xml:space="preserve">c) o provimento da apelação para reformar o fundamento da sentença que afastou a responsabilidade da parte Apelada, reconhecendo-se a responsabilidade solidária da comerciante pelo vício do produto, nos termos de </w:t>
      </w:r>
      <w:r>
        <w:t xml:space="preserve">art. 18 do CDC</w:t>
      </w:r>
      <w:r>
        <w:t xml:space="preserve">;</w:t>
      </w:r>
    </w:p>
    <w:p>
      <w:pPr>
        <w:pStyle w:val="Normal"/>
      </w:pPr>
      <w:r>
        <w:t xml:space="preserve">d) o provimento da apelação para reformar o fundamento da sentença que afastou a comprovação do prazo de 30 dias, reconhecendo-se, a partir da nota fiscal (DOC. 01), da ordem de serviço (DOC. 02) e da mensagem de 30/06/2026 (DOC. 03), o decurso do prazo legal sem reparo nem devolução do bem;</w:t>
      </w:r>
    </w:p>
    <w:p>
      <w:pPr>
        <w:pStyle w:val="Normal"/>
      </w:pPr>
      <w:r>
        <w:t xml:space="preserve">e) ao final, a reforma da sentença para condenar a parte Apelada à restituição simples de R$ 3.200,00;</w:t>
      </w:r>
    </w:p>
    <w:p>
      <w:pPr>
        <w:pStyle w:val="Normal"/>
      </w:pPr>
      <w:r>
        <w:t xml:space="preserve">f) a intimação da parte Apelada para apresentar contrarrazões e, após, a remessa dos autos ao Tribunal de Justiça de São Paulo.</w:t>
      </w:r>
    </w:p>
    <w:p>
      <w:pPr>
        <w:pStyle w:val="Centro"/>
      </w:pPr>
      <w:r>
        <w:t xml:space="preserve">Nestes termos, pede deferimento.</w:t>
      </w:r>
    </w:p>
    <w:p>
      <w:pPr>
        <w:pStyle w:val="Centro"/>
      </w:pPr>
      <w:r>
        <w:rPr>
          <w:b/>
          <w:highlight w:val="yellow"/>
        </w:rPr>
        <w:t xml:space="preserve">[PREENCHER: local e data]</w:t>
      </w:r>
    </w:p>
    <w:p>
      <w:pPr>
        <w:pStyle w:val="Centro"/>
      </w:pPr>
      <w:r>
        <w:rPr>
          <w:b/>
          <w:highlight w:val="yellow"/>
        </w:rPr>
        <w:t xml:space="preserve">[PREENCHER: nome do advogado e número da OAB]</w:t>
      </w:r>
    </w:p>
    <w:p>
      <w:pPr>
        <w:pStyle w:val="Secao"/>
      </w:pPr>
      <w:r>
        <w:t xml:space="preserve">DOCUMENTOS ANEXOS</w:t>
      </w:r>
    </w:p>
    <w:p>
      <w:pPr>
        <w:pStyle w:val="Normal"/>
      </w:pPr>
      <w:r>
        <w:t xml:space="preserve">DOC. 01 – Nota fiscal fictícia</w:t>
      </w:r>
    </w:p>
    <w:p>
      <w:pPr>
        <w:pStyle w:val="Normal"/>
      </w:pPr>
      <w:r>
        <w:t xml:space="preserve">DOC. 02 – Ordem de serviço fictícia</w:t>
      </w:r>
    </w:p>
    <w:p>
      <w:pPr>
        <w:pStyle w:val="Normal"/>
      </w:pPr>
      <w:r>
        <w:t xml:space="preserve">DOC. 03 – Mensagem fictícia da assistência</w:t>
      </w:r>
    </w:p>
    <w:p>
      <w:pPr>
        <w:pStyle w:val="Normal"/>
      </w:pPr>
      <w:r>
        <w:t xml:space="preserve">DOC. 04 – Procuração fictícia</w:t>
      </w:r>
    </w:p>
    <w:sectPr>
      <w:pgSz w:w="11906" w:h="16838"/>
      <w:pgMar w:top="1701" w:right="1134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pt-BR"/>
      </w:rPr>
    </w:rPrDefault>
    <w:pPrDefault>
      <w:pPr>
        <w:spacing w:after="160" w:line="360" w:lineRule="auto"/>
        <w:jc w:val="both"/>
      </w:pPr>
    </w:pPrDefault>
  </w:docDefaults>
  <w:style w:type="paragraph" w:default="1" w:styleId="Normal">
    <w:name w:val="Normal"/>
    <w:pPr>
      <w:ind w:firstLine="1418"/>
    </w:pPr>
  </w:style>
  <w:style w:type="paragraph" w:styleId="Enderecamento">
    <w:name w:val="Endereçamento"/>
    <w:basedOn w:val="Normal"/>
    <w:pPr>
      <w:spacing w:after="960"/>
      <w:ind w:firstLine="0"/>
    </w:pPr>
    <w:rPr>
      <w:b/>
    </w:rPr>
  </w:style>
  <w:style w:type="paragraph" w:styleId="Secao">
    <w:name w:val="Seção"/>
    <w:basedOn w:val="Normal"/>
    <w:pPr>
      <w:keepNext/>
      <w:spacing w:before="360" w:after="160"/>
      <w:ind w:firstLine="0"/>
      <w:jc w:val="left"/>
      <w:outlineLvl w:val="0"/>
    </w:pPr>
    <w:rPr>
      <w:b/>
    </w:rPr>
  </w:style>
  <w:style w:type="paragraph" w:styleId="Capitulo">
    <w:name w:val="Capítulo"/>
    <w:basedOn w:val="Normal"/>
    <w:pPr>
      <w:keepNext/>
      <w:spacing w:before="240" w:after="160"/>
      <w:ind w:firstLine="0"/>
      <w:jc w:val="left"/>
      <w:outlineLvl w:val="1"/>
    </w:pPr>
    <w:rPr>
      <w:b/>
    </w:rPr>
  </w:style>
  <w:style w:type="paragraph" w:styleId="Lei">
    <w:name w:val="Lei transcrita"/>
    <w:basedOn w:val="Normal"/>
    <w:pPr>
      <w:spacing w:after="120" w:line="240" w:lineRule="auto"/>
      <w:ind w:left="2268" w:firstLine="0"/>
    </w:pPr>
    <w:rPr>
      <w:sz w:val="20"/>
      <w:szCs w:val="20"/>
    </w:rPr>
  </w:style>
  <w:style w:type="paragraph" w:styleId="Centro">
    <w:name w:val="Centralizado"/>
    <w:basedOn w:val="Normal"/>
    <w:pPr>
      <w:ind w:firstLine="0"/>
      <w:jc w:val="center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