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Normal"/>
      </w:pPr>
      <w:r>
        <w:rPr>
          <w:b/>
        </w:rPr>
        <w:t xml:space="preserve">EXCELENTÍSSIMO SENHOR DOUTOR JUIZ DE DIREITO DA 2ª VARA CÍVEL DA COMARCA DE CAMPINAS/SP</w:t>
      </w:r>
    </w:p>
    <w:p>
      <w:pPr>
        <w:pStyle w:val="Normal"/>
      </w:pPr>
      <w:r>
        <w:rPr>
          <w:b/>
        </w:rPr>
        <w:t xml:space="preserve">Processo nº 1000031-00.2026.8.26.0000</w:t>
      </w:r>
    </w:p>
    <w:p>
      <w:pPr>
        <w:pStyle w:val="Normal"/>
      </w:pPr>
      <w:r>
        <w:rPr>
          <w:b/>
        </w:rPr>
        <w:t xml:space="preserve">LAURA FICTÍCIA MENDES</w:t>
      </w:r>
      <w:r>
        <w:t xml:space="preserve">, já qualificada nos autos da </w:t>
      </w:r>
      <w:r>
        <w:rPr>
          <w:b/>
        </w:rPr>
        <w:t xml:space="preserve">ação de obrigação de fazer/cumulada com restituição de quantia</w:t>
      </w:r>
      <w:r>
        <w:t xml:space="preserve"> que move em face de </w:t>
      </w:r>
      <w:r>
        <w:rPr>
          <w:b/>
        </w:rPr>
        <w:t xml:space="preserve">LOJA AURORA FICTÍCIA LTDA</w:t>
      </w:r>
      <w:r>
        <w:t xml:space="preserve">, por seus procuradores, vem, respeitosamente, apresentar suas</w:t>
      </w:r>
    </w:p>
    <w:p>
      <w:pPr>
        <w:pStyle w:val="Enderecamento"/>
      </w:pPr>
      <w:r>
        <w:t xml:space="preserve">CONTRARRAZÕES DE APELAÇÃO</w:t>
      </w:r>
    </w:p>
    <w:p>
      <w:pPr>
        <w:pStyle w:val="Normal"/>
      </w:pPr>
      <w:r>
        <w:t xml:space="preserve">em face do recurso interposto pela ré, requerendo sejam recebidas e encaminhadas ao Egrégio Tribunal de Justiça de São Paulo.</w:t>
      </w:r>
    </w:p>
    <w:p>
      <w:pPr>
        <w:pStyle w:val="Normal"/>
      </w:pPr>
      <w:r>
        <w:t xml:space="preserve">Termos em que,  </w:t>
      </w:r>
    </w:p>
    <w:p>
      <w:pPr>
        <w:pStyle w:val="Normal"/>
      </w:pPr>
      <w:r>
        <w:t xml:space="preserve">pede deferimento.</w:t>
      </w:r>
    </w:p>
    <w:p>
      <w:pPr>
        <w:pStyle w:val="Normal"/>
      </w:pPr>
      <w:r>
        <w:t xml:space="preserve">Campinas/SP, data de praxe.</w:t>
      </w:r>
    </w:p>
    <w:p>
      <w:pPr>
        <w:pStyle w:val="Normal"/>
      </w:pPr>
      <w:r>
        <w:rPr>
          <w:b/>
        </w:rPr>
        <w:t xml:space="preserve">Advogado</w:t>
      </w:r>
      <w:r>
        <w:t xml:space="preserve">  </w:t>
      </w:r>
    </w:p>
    <w:p>
      <w:pPr>
        <w:pStyle w:val="Normal"/>
      </w:pPr>
      <w:r>
        <w:t xml:space="preserve">OAB/XX nº ___</w:t>
      </w:r>
    </w:p>
    <w:p>
      <w:pPr>
        <w:pStyle w:val="Normal"/>
      </w:pPr>
      <w:r>
        <w:t xml:space="preserve">---</w:t>
      </w:r>
    </w:p>
    <w:p>
      <w:pPr>
        <w:pStyle w:val="Enderecamento"/>
      </w:pPr>
      <w:r>
        <w:t xml:space="preserve">EGRÉGIO TRIBUNAL DE JUSTIÇA DO ESTADO DE SÃO PAULO</w:t>
      </w:r>
    </w:p>
    <w:p>
      <w:pPr>
        <w:pStyle w:val="Secao"/>
      </w:pPr>
      <w:r>
        <w:t xml:space="preserve">APELANTE: LOJA AURORA FICTÍCIA LTDA  </w:t>
      </w:r>
    </w:p>
    <w:p>
      <w:pPr>
        <w:pStyle w:val="Secao"/>
      </w:pPr>
      <w:r>
        <w:t xml:space="preserve">APELADA: LAURA FICTÍCIA MENDES  </w:t>
      </w:r>
    </w:p>
    <w:p>
      <w:pPr>
        <w:pStyle w:val="Secao"/>
      </w:pPr>
      <w:r>
        <w:t xml:space="preserve">ORIGEM: 2ª VARA CÍVEL DE CAMPINAS/SP</w:t>
      </w:r>
    </w:p>
    <w:p>
      <w:pPr>
        <w:pStyle w:val="Enderecamento"/>
      </w:pPr>
      <w:r>
        <w:t xml:space="preserve">CONTRARRAZÕES DE APELAÇÃO</w:t>
      </w:r>
    </w:p>
    <w:p>
      <w:pPr>
        <w:pStyle w:val="Normal"/>
      </w:pPr>
      <w:r>
        <w:t xml:space="preserve">Colenda Câmara,  </w:t>
      </w:r>
    </w:p>
    <w:p>
      <w:pPr>
        <w:pStyle w:val="Normal"/>
      </w:pPr>
      <w:r>
        <w:t xml:space="preserve">Ínclitos Julgadores,</w:t>
      </w:r>
    </w:p>
    <w:p>
      <w:pPr>
        <w:pStyle w:val="Secao"/>
      </w:pPr>
      <w:r>
        <w:t xml:space="preserve">1. SÍNTESE DO CASO</w:t>
      </w:r>
    </w:p>
    <w:p>
      <w:pPr>
        <w:pStyle w:val="Normal"/>
      </w:pPr>
      <w:r>
        <w:t xml:space="preserve">Trata-se de demanda proposta pela consumidora, ora apelada, em razão de vício apresentado em geladeira adquirida da ré pelo valor de </w:t>
      </w:r>
      <w:r>
        <w:rPr>
          <w:b/>
        </w:rPr>
        <w:t xml:space="preserve">R$ 3.200,00</w:t>
      </w:r>
      <w:r>
        <w:t xml:space="preserve">, conforme nota fiscal.</w:t>
      </w:r>
    </w:p>
    <w:p>
      <w:pPr>
        <w:pStyle w:val="Normal"/>
      </w:pPr>
      <w:r>
        <w:t xml:space="preserve">O produto foi entregue para reparo em </w:t>
      </w:r>
      <w:r>
        <w:rPr>
          <w:b/>
        </w:rPr>
        <w:t xml:space="preserve">01/06/2026</w:t>
      </w:r>
      <w:r>
        <w:t xml:space="preserve">, fato comprovado pela </w:t>
      </w:r>
      <w:r>
        <w:rPr>
          <w:b/>
        </w:rPr>
        <w:t xml:space="preserve">ordem de serviço</w:t>
      </w:r>
      <w:r>
        <w:t xml:space="preserve"> juntada aos autos. Posteriormente, em </w:t>
      </w:r>
      <w:r>
        <w:rPr>
          <w:b/>
        </w:rPr>
        <w:t xml:space="preserve">10/07/2026</w:t>
      </w:r>
      <w:r>
        <w:t xml:space="preserve">, a própria loja confirmou, por mensagem, que a geladeira </w:t>
      </w:r>
      <w:r>
        <w:rPr>
          <w:b/>
        </w:rPr>
        <w:t xml:space="preserve">ainda permanecia em reparo</w:t>
      </w:r>
      <w:r>
        <w:t xml:space="preserve">, sem devolução do bem nem solução do vício.</w:t>
      </w:r>
    </w:p>
    <w:p>
      <w:pPr>
        <w:pStyle w:val="Normal"/>
      </w:pPr>
      <w:r>
        <w:t xml:space="preserve">Diante disso, a sentença reconheceu corretamente:</w:t>
      </w:r>
    </w:p>
    <w:p>
      <w:pPr>
        <w:pStyle w:val="Normal"/>
      </w:pPr>
      <w:r>
        <w:t xml:space="preserve">1. a </w:t>
      </w:r>
      <w:r>
        <w:rPr>
          <w:b/>
        </w:rPr>
        <w:t xml:space="preserve">responsabilidade da loja</w:t>
      </w:r>
      <w:r>
        <w:t xml:space="preserve">, por integrar a cadeia de fornecimento;  </w:t>
      </w:r>
    </w:p>
    <w:p>
      <w:pPr>
        <w:pStyle w:val="Normal"/>
      </w:pPr>
      <w:r>
        <w:t xml:space="preserve">2. o </w:t>
      </w:r>
      <w:r>
        <w:rPr>
          <w:b/>
        </w:rPr>
        <w:t xml:space="preserve">transcurso do prazo legal de 30 dias</w:t>
      </w:r>
      <w:r>
        <w:t xml:space="preserve"> sem reparação eficaz;  </w:t>
      </w:r>
    </w:p>
    <w:p>
      <w:pPr>
        <w:pStyle w:val="Normal"/>
      </w:pPr>
      <w:r>
        <w:t xml:space="preserve">3. o direito da autora à </w:t>
      </w:r>
      <w:r>
        <w:rPr>
          <w:b/>
        </w:rPr>
        <w:t xml:space="preserve">restituição simples de R$ 3.200,00</w:t>
      </w:r>
      <w:r>
        <w:t xml:space="preserve">.</w:t>
      </w:r>
    </w:p>
    <w:p>
      <w:pPr>
        <w:pStyle w:val="Normal"/>
      </w:pPr>
      <w:r>
        <w:t xml:space="preserve">A apelante pretende afastar a condenação sob dois argumentos:  </w:t>
      </w:r>
    </w:p>
    <w:p>
      <w:pPr>
        <w:pStyle w:val="Normal"/>
      </w:pPr>
      <w:r>
        <w:t xml:space="preserve">(i) de que apenas o fabricante responderia pelo vício; e  </w:t>
      </w:r>
    </w:p>
    <w:p>
      <w:pPr>
        <w:pStyle w:val="Normal"/>
      </w:pPr>
      <w:r>
        <w:t xml:space="preserve">(ii) de que não haveria prova do decurso do prazo de 30 dias.</w:t>
      </w:r>
    </w:p>
    <w:p>
      <w:pPr>
        <w:pStyle w:val="Normal"/>
      </w:pPr>
      <w:r>
        <w:t xml:space="preserve">Nenhuma das teses merece prosperar.</w:t>
      </w:r>
    </w:p>
    <w:p>
      <w:pPr>
        <w:pStyle w:val="Normal"/>
      </w:pPr>
      <w:r>
        <w:t xml:space="preserve">---</w:t>
      </w:r>
    </w:p>
    <w:p>
      <w:pPr>
        <w:pStyle w:val="Secao"/>
      </w:pPr>
      <w:r>
        <w:t xml:space="preserve">2. A SENTENÇA DEVE SER MANTIDA</w:t>
      </w:r>
    </w:p>
    <w:p>
      <w:pPr>
        <w:pStyle w:val="Normal"/>
      </w:pPr>
      <w:r>
        <w:t xml:space="preserve">A r. sentença enfrentou adequadamente a controvérsia e aplicou corretamente o </w:t>
      </w:r>
      <w:r>
        <w:rPr>
          <w:b/>
        </w:rPr>
        <w:t xml:space="preserve">Código de Defesa do Consumidor</w:t>
      </w:r>
      <w:r>
        <w:t xml:space="preserve">, especialmente o regime de responsabilidade solidária dos fornecedores por vício do produto.</w:t>
      </w:r>
    </w:p>
    <w:p>
      <w:pPr>
        <w:pStyle w:val="Normal"/>
      </w:pPr>
      <w:r>
        <w:t xml:space="preserve">A insurgência recursal apenas repisa argumentos já superados pela prova documental produzida.</w:t>
      </w:r>
    </w:p>
    <w:p>
      <w:pPr>
        <w:pStyle w:val="Normal"/>
      </w:pPr>
      <w:r>
        <w:t xml:space="preserve">---</w:t>
      </w:r>
    </w:p>
    <w:p>
      <w:pPr>
        <w:pStyle w:val="Secao"/>
      </w:pPr>
      <w:r>
        <w:t xml:space="preserve">3. DA RESPONSABILIDADE DA LOJA APELANTE PELO VÍCIO DO PRODUTO</w:t>
      </w:r>
    </w:p>
    <w:p>
      <w:pPr>
        <w:pStyle w:val="Normal"/>
      </w:pPr>
      <w:r>
        <w:t xml:space="preserve">A primeira tese recursal sustenta que “somente o fabricante” poderia responder pelo vício da geladeira, porque a loja “apenas vendeu” o produto.</w:t>
      </w:r>
    </w:p>
    <w:p>
      <w:pPr>
        <w:pStyle w:val="Normal"/>
      </w:pPr>
      <w:r>
        <w:t xml:space="preserve">Tal alegação contraria frontalmente o sistema protetivo do CDC.</w:t>
      </w:r>
    </w:p>
    <w:p>
      <w:pPr>
        <w:pStyle w:val="Normal"/>
      </w:pPr>
      <w:r>
        <w:t xml:space="preserve">Nos termos do </w:t>
      </w:r>
      <w:r>
        <w:rPr>
          <w:b/>
        </w:rPr>
        <w:t xml:space="preserve">art. 18 do Código de Defesa do Consumidor</w:t>
      </w:r>
      <w:r>
        <w:t xml:space="preserve">, os fornecedores de produtos de consumo duráveis respondem </w:t>
      </w:r>
      <w:r>
        <w:rPr>
          <w:b/>
        </w:rPr>
        <w:t xml:space="preserve">solidariamente</w:t>
      </w:r>
      <w:r>
        <w:t xml:space="preserve"> pelos vícios de qualidade ou quantidade que os tornem impróprios ou inadequados ao consumo ou lhes diminuam o valor. O comerciante, portanto, </w:t>
      </w:r>
      <w:r>
        <w:rPr>
          <w:b/>
        </w:rPr>
        <w:t xml:space="preserve">não se exime da responsabilidade</w:t>
      </w:r>
      <w:r>
        <w:t xml:space="preserve"> pelo simples fato de não ser o fabricante.</w:t>
      </w:r>
    </w:p>
    <w:p>
      <w:pPr>
        <w:pStyle w:val="Normal"/>
      </w:pPr>
      <w:r>
        <w:t xml:space="preserve">A apelante participou diretamente da relação de consumo:</w:t>
      </w:r>
    </w:p>
    <w:p>
      <w:pPr>
        <w:pStyle w:val="Normal"/>
      </w:pPr>
      <w:r>
        <w:t xml:space="preserve">- vendeu o produto à consumidora;  </w:t>
      </w:r>
    </w:p>
    <w:p>
      <w:pPr>
        <w:pStyle w:val="Normal"/>
      </w:pPr>
      <w:r>
        <w:t xml:space="preserve">- recebeu a geladeira para reparo;  </w:t>
      </w:r>
    </w:p>
    <w:p>
      <w:pPr>
        <w:pStyle w:val="Normal"/>
      </w:pPr>
      <w:r>
        <w:t xml:space="preserve">- acompanhou o atendimento pós-venda;  </w:t>
      </w:r>
    </w:p>
    <w:p>
      <w:pPr>
        <w:pStyle w:val="Normal"/>
      </w:pPr>
      <w:r>
        <w:t xml:space="preserve">- informou à autora, já após longo período, que o bem continuava em conserto.</w:t>
      </w:r>
    </w:p>
    <w:p>
      <w:pPr>
        <w:pStyle w:val="Normal"/>
      </w:pPr>
      <w:r>
        <w:t xml:space="preserve">Não há qualquer dúvida, portanto, de que integra a </w:t>
      </w:r>
      <w:r>
        <w:rPr>
          <w:b/>
        </w:rPr>
        <w:t xml:space="preserve">cadeia de fornecimento</w:t>
      </w:r>
      <w:r>
        <w:t xml:space="preserve">, respondendo solidariamente perante a consumidora.</w:t>
      </w:r>
    </w:p>
    <w:p>
      <w:pPr>
        <w:pStyle w:val="Normal"/>
      </w:pPr>
      <w:r>
        <w:t xml:space="preserve">Ao consumidor não se pode impor o ônus de identificar, dentro da cadeia de fornecedores, quem internamente deu causa ao insucesso do reparo. A solidariedade legal existe justamente para assegurar efetividade à tutela consumerista.</w:t>
      </w:r>
    </w:p>
    <w:p>
      <w:pPr>
        <w:pStyle w:val="Normal"/>
      </w:pPr>
      <w:r>
        <w:t xml:space="preserve">Assim, ainda que houvesse participação do fabricante no evento, isso </w:t>
      </w:r>
      <w:r>
        <w:rPr>
          <w:b/>
        </w:rPr>
        <w:t xml:space="preserve">não afasta</w:t>
      </w:r>
      <w:r>
        <w:t xml:space="preserve"> a legitimidade nem a responsabilidade da loja perante a autora. Eventual direito regressivo entre fornecedores deverá ser discutido em via própria, sem prejuízo da reparação devida à consumidora.</w:t>
      </w:r>
    </w:p>
    <w:p>
      <w:pPr>
        <w:pStyle w:val="Normal"/>
      </w:pPr>
      <w:r>
        <w:t xml:space="preserve">A sentença, ao reconhecer esse ponto, observou corretamente o CDC e deve ser integralmente preservada.</w:t>
      </w:r>
    </w:p>
    <w:p>
      <w:pPr>
        <w:pStyle w:val="Normal"/>
      </w:pPr>
      <w:r>
        <w:t xml:space="preserve">---</w:t>
      </w:r>
    </w:p>
    <w:p>
      <w:pPr>
        <w:pStyle w:val="Secao"/>
      </w:pPr>
      <w:r>
        <w:t xml:space="preserve">4. DO TRANSCURSO DO PRAZO DE 30 DIAS SEM REPARAÇÃO</w:t>
      </w:r>
    </w:p>
    <w:p>
      <w:pPr>
        <w:pStyle w:val="Normal"/>
      </w:pPr>
      <w:r>
        <w:t xml:space="preserve">A segunda tese recursal também não procede.</w:t>
      </w:r>
    </w:p>
    <w:p>
      <w:pPr>
        <w:pStyle w:val="Normal"/>
      </w:pPr>
      <w:r>
        <w:t xml:space="preserve">A apelante afirma que não há prova de que tenham transcorrido 30 dias, porque a ordem de serviço apenas demonstraria o recebimento do produto.</w:t>
      </w:r>
    </w:p>
    <w:p>
      <w:pPr>
        <w:pStyle w:val="Normal"/>
      </w:pPr>
      <w:r>
        <w:t xml:space="preserve">O argumento desconsidera a prova documental em seu conjunto.</w:t>
      </w:r>
    </w:p>
    <w:p>
      <w:pPr>
        <w:pStyle w:val="Secao"/>
      </w:pPr>
      <w:r>
        <w:t xml:space="preserve">4.1. Ordem de serviço e mensagem da loja comprovam o prazo legal superado</w:t>
      </w:r>
    </w:p>
    <w:p>
      <w:pPr>
        <w:pStyle w:val="Normal"/>
      </w:pPr>
      <w:r>
        <w:t xml:space="preserve">Consta dos autos:</w:t>
      </w:r>
    </w:p>
    <w:p>
      <w:pPr>
        <w:pStyle w:val="Normal"/>
      </w:pPr>
      <w:r>
        <w:t xml:space="preserve">- </w:t>
      </w:r>
      <w:r>
        <w:rPr>
          <w:b/>
        </w:rPr>
        <w:t xml:space="preserve">Ordem de serviço de 01/06/2026</w:t>
      </w:r>
      <w:r>
        <w:t xml:space="preserve">, comprovando a entrega da geladeira para reparo;  </w:t>
      </w:r>
    </w:p>
    <w:p>
      <w:pPr>
        <w:pStyle w:val="Normal"/>
      </w:pPr>
      <w:r>
        <w:t xml:space="preserve">- </w:t>
      </w:r>
      <w:r>
        <w:rPr>
          <w:b/>
        </w:rPr>
        <w:t xml:space="preserve">Mensagem da própria loja, em 10/07/2026</w:t>
      </w:r>
      <w:r>
        <w:t xml:space="preserve">, confirmando que o produto </w:t>
      </w:r>
      <w:r>
        <w:rPr>
          <w:b/>
        </w:rPr>
        <w:t xml:space="preserve">continuava em reparo</w:t>
      </w:r>
      <w:r>
        <w:t xml:space="preserve"> naquela data.</w:t>
      </w:r>
    </w:p>
    <w:p>
      <w:pPr>
        <w:pStyle w:val="Normal"/>
      </w:pPr>
      <w:r>
        <w:t xml:space="preserve">A partir desses dois marcos documentais, tem-se quadro probatório objetivo e suficiente: o produto foi entregue em 01/06 e, em 10/07, ainda não havia sido reparado nem devolvido.</w:t>
      </w:r>
    </w:p>
    <w:p>
      <w:pPr>
        <w:pStyle w:val="Normal"/>
      </w:pPr>
      <w:r>
        <w:t xml:space="preserve">Entre </w:t>
      </w:r>
      <w:r>
        <w:rPr>
          <w:b/>
        </w:rPr>
        <w:t xml:space="preserve">01/06/2026</w:t>
      </w:r>
      <w:r>
        <w:t xml:space="preserve"> e </w:t>
      </w:r>
      <w:r>
        <w:rPr>
          <w:b/>
        </w:rPr>
        <w:t xml:space="preserve">10/07/2026</w:t>
      </w:r>
      <w:r>
        <w:t xml:space="preserve"> transcorreram </w:t>
      </w:r>
      <w:r>
        <w:rPr>
          <w:b/>
        </w:rPr>
        <w:t xml:space="preserve">mais de 30 dias</w:t>
      </w:r>
      <w:r>
        <w:t xml:space="preserve">. Logo, restou plenamente caracterizada a superação do prazo previsto no art. 18, §1º, do CDC.</w:t>
      </w:r>
    </w:p>
    <w:p>
      <w:pPr>
        <w:pStyle w:val="Normal"/>
      </w:pPr>
      <w:r>
        <w:t xml:space="preserve">Não é necessária prova mais complexa do que essa. Se a própria fornecedora reconhece, em 10/07, que o bem ainda estava em conserto, a conclusão é inequívoca: o reparo não foi concluído dentro do prazo legal.</w:t>
      </w:r>
    </w:p>
    <w:p>
      <w:pPr>
        <w:pStyle w:val="Secao"/>
      </w:pPr>
      <w:r>
        <w:t xml:space="preserve">4.2. O ônus da prova não favorece a apelante</w:t>
      </w:r>
    </w:p>
    <w:p>
      <w:pPr>
        <w:pStyle w:val="Normal"/>
      </w:pPr>
      <w:r>
        <w:t xml:space="preserve">Se a loja sustentasse ter havido reparo tempestivo, devolução do bem ou solução eficaz antes do trigésimo dia, caberia a ela apresentar documentação comprobatória de tal fato, o que não ocorreu.</w:t>
      </w:r>
    </w:p>
    <w:p>
      <w:pPr>
        <w:pStyle w:val="Normal"/>
      </w:pPr>
      <w:r>
        <w:t xml:space="preserve">Ao contrário, o único elemento posterior à ordem de serviço é justamente a mensagem da ré confirmando a permanência do produto no reparo em 10/07.</w:t>
      </w:r>
    </w:p>
    <w:p>
      <w:pPr>
        <w:pStyle w:val="Normal"/>
      </w:pPr>
      <w:r>
        <w:t xml:space="preserve">Portanto, não apenas existe prova do transcurso do prazo, como essa prova advém de documento produzido pela própria fornecedora.</w:t>
      </w:r>
    </w:p>
    <w:p>
      <w:pPr>
        <w:pStyle w:val="Secao"/>
      </w:pPr>
      <w:r>
        <w:t xml:space="preserve">4.3. Consequência jurídica: restituição do preço</w:t>
      </w:r>
    </w:p>
    <w:p>
      <w:pPr>
        <w:pStyle w:val="Normal"/>
      </w:pPr>
      <w:r>
        <w:t xml:space="preserve">Ultrapassado o prazo de 30 dias sem saneamento do vício, a consumidora pode exercer as opções previstas no art. 18, §1º, do CDC, entre elas a </w:t>
      </w:r>
      <w:r>
        <w:rPr>
          <w:b/>
        </w:rPr>
        <w:t xml:space="preserve">restituição imediata da quantia paga</w:t>
      </w:r>
      <w:r>
        <w:t xml:space="preserve">, monetariamente atualizada, sem prejuízo de eventuais perdas e danos.</w:t>
      </w:r>
    </w:p>
    <w:p>
      <w:pPr>
        <w:pStyle w:val="Normal"/>
      </w:pPr>
      <w:r>
        <w:t xml:space="preserve">Foi exatamente essa a solução adotada pela sentença, que condenou a ré à </w:t>
      </w:r>
      <w:r>
        <w:rPr>
          <w:b/>
        </w:rPr>
        <w:t xml:space="preserve">restituição simples de R$ 3.200,00</w:t>
      </w:r>
      <w:r>
        <w:t xml:space="preserve">, correspondente ao valor pago pela geladeira.</w:t>
      </w:r>
    </w:p>
    <w:p>
      <w:pPr>
        <w:pStyle w:val="Normal"/>
      </w:pPr>
      <w:r>
        <w:t xml:space="preserve">A condenação é estritamente compatível com a prova dos autos e com a legislação aplicável.</w:t>
      </w:r>
    </w:p>
    <w:p>
      <w:pPr>
        <w:pStyle w:val="Normal"/>
      </w:pPr>
      <w:r>
        <w:t xml:space="preserve">---</w:t>
      </w:r>
    </w:p>
    <w:p>
      <w:pPr>
        <w:pStyle w:val="Secao"/>
      </w:pPr>
      <w:r>
        <w:t xml:space="preserve">5. AUSÊNCIA DE IMPUGNAÇÃO ESPECÍFICA A OUTROS CAPÍTULOS</w:t>
      </w:r>
    </w:p>
    <w:p>
      <w:pPr>
        <w:pStyle w:val="Normal"/>
      </w:pPr>
      <w:r>
        <w:t xml:space="preserve">A sentença rejeitou o pedido de dano moral e fixou honorários advocatícios em 10% sobre a condenação.</w:t>
      </w:r>
    </w:p>
    <w:p>
      <w:pPr>
        <w:pStyle w:val="Normal"/>
      </w:pPr>
      <w:r>
        <w:t xml:space="preserve">Conforme se extrai das razões recursais, a apelante limita sua insurgência ao dever de restituir o valor do produto, sem desenvolver tese concreta e específica acerca dos demais capítulos.</w:t>
      </w:r>
    </w:p>
    <w:p>
      <w:pPr>
        <w:pStyle w:val="Normal"/>
      </w:pPr>
      <w:r>
        <w:t xml:space="preserve">De toda forma, a apelada </w:t>
      </w:r>
      <w:r>
        <w:rPr>
          <w:b/>
        </w:rPr>
        <w:t xml:space="preserve">não recorre</w:t>
      </w:r>
      <w:r>
        <w:t xml:space="preserve"> da rejeição do dano moral, restringindo-se a defender a manutenção da sentença nos pontos efetivamente impugnados.</w:t>
      </w:r>
    </w:p>
    <w:p>
      <w:pPr>
        <w:pStyle w:val="Normal"/>
      </w:pPr>
      <w:r>
        <w:t xml:space="preserve">---</w:t>
      </w:r>
    </w:p>
    <w:p>
      <w:pPr>
        <w:pStyle w:val="Secao"/>
      </w:pPr>
      <w:r>
        <w:t xml:space="preserve">6. DOS HONORÁRIOS RECURSAIS</w:t>
      </w:r>
    </w:p>
    <w:p>
      <w:pPr>
        <w:pStyle w:val="Normal"/>
      </w:pPr>
      <w:r>
        <w:t xml:space="preserve">Sendo desprovido o recurso, requer a apelada a </w:t>
      </w:r>
      <w:r>
        <w:rPr>
          <w:b/>
        </w:rPr>
        <w:t xml:space="preserve">majoração dos honorários advocatícios recursais</w:t>
      </w:r>
      <w:r>
        <w:t xml:space="preserve">, </w:t>
      </w:r>
      <w:r>
        <w:rPr>
          <w:b/>
        </w:rPr>
        <w:t xml:space="preserve">se cabível</w:t>
      </w:r>
      <w:r>
        <w:t xml:space="preserve">, nos termos do art. 85, §11, do CPC, observados os limites legais.</w:t>
      </w:r>
    </w:p>
    <w:p>
      <w:pPr>
        <w:pStyle w:val="Normal"/>
      </w:pPr>
      <w:r>
        <w:t xml:space="preserve">---</w:t>
      </w:r>
    </w:p>
    <w:p>
      <w:pPr>
        <w:pStyle w:val="Secao"/>
      </w:pPr>
      <w:r>
        <w:t xml:space="preserve">7. CONCLUSÃO</w:t>
      </w:r>
    </w:p>
    <w:p>
      <w:pPr>
        <w:pStyle w:val="Normal"/>
      </w:pPr>
      <w:r>
        <w:t xml:space="preserve">Diante do exposto, requer a apelada seja </w:t>
      </w:r>
      <w:r>
        <w:rPr>
          <w:b/>
        </w:rPr>
        <w:t xml:space="preserve">NEGADO PROVIMENTO À APELAÇÃO</w:t>
      </w:r>
      <w:r>
        <w:t xml:space="preserve">, para:</w:t>
      </w:r>
    </w:p>
    <w:p>
      <w:pPr>
        <w:pStyle w:val="Normal"/>
      </w:pPr>
      <w:r>
        <w:t xml:space="preserve">1. </w:t>
      </w:r>
      <w:r>
        <w:rPr>
          <w:b/>
        </w:rPr>
        <w:t xml:space="preserve">manter integralmente a sentença nos capítulos recorridos</w:t>
      </w:r>
      <w:r>
        <w:t xml:space="preserve">;  </w:t>
      </w:r>
    </w:p>
    <w:p>
      <w:pPr>
        <w:pStyle w:val="Normal"/>
      </w:pPr>
      <w:r>
        <w:t xml:space="preserve">2. </w:t>
      </w:r>
      <w:r>
        <w:rPr>
          <w:b/>
        </w:rPr>
        <w:t xml:space="preserve">preservar a condenação da apelante à restituição simples de R$ 3.200,00</w:t>
      </w:r>
      <w:r>
        <w:t xml:space="preserve">;  </w:t>
      </w:r>
    </w:p>
    <w:p>
      <w:pPr>
        <w:pStyle w:val="Normal"/>
      </w:pPr>
      <w:r>
        <w:t xml:space="preserve">3. </w:t>
      </w:r>
      <w:r>
        <w:rPr>
          <w:b/>
        </w:rPr>
        <w:t xml:space="preserve">majorar os honorários recursais, somente se cabível, nos limites legais</w:t>
      </w:r>
      <w:r>
        <w:t xml:space="preserve">.</w:t>
      </w:r>
    </w:p>
    <w:p>
      <w:pPr>
        <w:pStyle w:val="Normal"/>
      </w:pPr>
      <w:r>
        <w:t xml:space="preserve">Termos em que,  </w:t>
      </w:r>
    </w:p>
    <w:p>
      <w:pPr>
        <w:pStyle w:val="Normal"/>
      </w:pPr>
      <w:r>
        <w:t xml:space="preserve">pede deferimento.</w:t>
      </w:r>
    </w:p>
    <w:p>
      <w:pPr>
        <w:pStyle w:val="Normal"/>
      </w:pPr>
      <w:r>
        <w:t xml:space="preserve">Campinas/SP, data de praxe.</w:t>
      </w:r>
    </w:p>
    <w:p>
      <w:pPr>
        <w:pStyle w:val="Normal"/>
      </w:pPr>
      <w:r>
        <w:rPr>
          <w:b/>
        </w:rPr>
        <w:t xml:space="preserve">Advogado</w:t>
      </w:r>
      <w:r>
        <w:t xml:space="preserve">  </w:t>
      </w:r>
    </w:p>
    <w:p>
      <w:pPr>
        <w:pStyle w:val="Normal"/>
      </w:pPr>
      <w:r>
        <w:t xml:space="preserve">OAB/XX nº ___</w:t>
      </w:r>
    </w:p>
    <w:p>
      <w:pPr>
        <w:pStyle w:val="Normal"/>
      </w:pPr>
      <w:r>
        <w:t xml:space="preserve">---</w:t>
      </w:r>
    </w:p>
    <w:p>
      <w:pPr>
        <w:pStyle w:val="Normal"/>
      </w:pPr>
      <w:r>
        <w:t xml:space="preserve">Se quiser, posso também transformar essa peça em:</w:t>
      </w:r>
    </w:p>
    <w:p>
      <w:pPr>
        <w:pStyle w:val="Normal"/>
      </w:pPr>
      <w:r>
        <w:t xml:space="preserve">1. </w:t>
      </w:r>
      <w:r>
        <w:rPr>
          <w:b/>
        </w:rPr>
        <w:t xml:space="preserve">versão mais formal e forense</w:t>
      </w:r>
      <w:r>
        <w:t xml:space="preserve">,  </w:t>
      </w:r>
    </w:p>
    <w:p>
      <w:pPr>
        <w:pStyle w:val="Normal"/>
      </w:pPr>
      <w:r>
        <w:t xml:space="preserve">2. </w:t>
      </w:r>
      <w:r>
        <w:rPr>
          <w:b/>
        </w:rPr>
        <w:t xml:space="preserve">versão objetiva para Juizado/estilo prático</w:t>
      </w:r>
      <w:r>
        <w:t xml:space="preserve">, ou  </w:t>
      </w:r>
    </w:p>
    <w:p>
      <w:pPr>
        <w:pStyle w:val="Normal"/>
      </w:pPr>
      <w:r>
        <w:t xml:space="preserve">3. </w:t>
      </w:r>
      <w:r>
        <w:rPr>
          <w:b/>
        </w:rPr>
        <w:t xml:space="preserve">formato editável com qualificação completa e fechamento profissional</w:t>
      </w:r>
      <w:r>
        <w:t xml:space="preserve">.</w:t>
      </w:r>
    </w:p>
    <w:sectPr>
      <w:pgSz w:w="11906" w:h="16838"/>
      <w:pgMar w:top="1701" w:right="1134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pt-BR"/>
      </w:rPr>
    </w:rPrDefault>
    <w:pPrDefault>
      <w:pPr>
        <w:spacing w:after="160" w:line="360" w:lineRule="auto"/>
        <w:jc w:val="both"/>
      </w:pPr>
    </w:pPrDefault>
  </w:docDefaults>
  <w:style w:type="paragraph" w:default="1" w:styleId="Normal">
    <w:name w:val="Normal"/>
    <w:pPr>
      <w:ind w:firstLine="1418"/>
    </w:pPr>
  </w:style>
  <w:style w:type="paragraph" w:styleId="Enderecamento">
    <w:name w:val="Endereçamento"/>
    <w:basedOn w:val="Normal"/>
    <w:pPr>
      <w:spacing w:after="960"/>
      <w:ind w:firstLine="0"/>
    </w:pPr>
    <w:rPr>
      <w:b/>
    </w:rPr>
  </w:style>
  <w:style w:type="paragraph" w:styleId="Secao">
    <w:name w:val="Seção"/>
    <w:basedOn w:val="Normal"/>
    <w:pPr>
      <w:keepNext/>
      <w:spacing w:before="360" w:after="160"/>
      <w:ind w:firstLine="0"/>
      <w:jc w:val="left"/>
      <w:outlineLvl w:val="0"/>
    </w:pPr>
    <w:rPr>
      <w:b/>
    </w:rPr>
  </w:style>
  <w:style w:type="paragraph" w:styleId="Capitulo">
    <w:name w:val="Capítulo"/>
    <w:basedOn w:val="Normal"/>
    <w:pPr>
      <w:keepNext/>
      <w:spacing w:before="240" w:after="160"/>
      <w:ind w:firstLine="0"/>
      <w:jc w:val="left"/>
      <w:outlineLvl w:val="1"/>
    </w:pPr>
    <w:rPr>
      <w:b/>
    </w:rPr>
  </w:style>
  <w:style w:type="paragraph" w:styleId="Lei">
    <w:name w:val="Lei transcrita"/>
    <w:basedOn w:val="Normal"/>
    <w:pPr>
      <w:spacing w:after="120" w:line="240" w:lineRule="auto"/>
      <w:ind w:left="2268" w:firstLine="0"/>
    </w:pPr>
    <w:rPr>
      <w:sz w:val="20"/>
      <w:szCs w:val="20"/>
    </w:rPr>
  </w:style>
  <w:style w:type="paragraph" w:styleId="Centro">
    <w:name w:val="Centralizado"/>
    <w:basedOn w:val="Normal"/>
    <w:pPr>
      <w:ind w:firstLine="0"/>
      <w:jc w:val="center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