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Enderecamento"/>
      </w:pPr>
      <w:r>
        <w:t xml:space="preserve">AO JUÍZO DE DIREITO DA 2ª VARA CÍVEL DE CAMPINAS/SP</w:t>
      </w:r>
    </w:p>
    <w:p>
      <w:pPr>
        <w:pStyle w:val="Normal"/>
      </w:pPr>
      <w:r>
        <w:t xml:space="preserve">Processo nº 1000031-00.2026.8.26.0000</w:t>
      </w:r>
    </w:p>
    <w:p>
      <w:pPr>
        <w:pStyle w:val="Normal"/>
      </w:pPr>
      <w:r>
        <w:rPr>
          <w:b/>
        </w:rPr>
        <w:t xml:space="preserve">LAURA FICTÍCIA MENDES</w:t>
      </w:r>
      <w:r>
        <w:t xml:space="preserve">, parte já qualificada nos autos, por sua representação processual, vem apresentar contrarrazões de apelação ao recurso interposto por </w:t>
      </w:r>
      <w:r>
        <w:rPr>
          <w:b/>
        </w:rPr>
        <w:t xml:space="preserve">LOJA AURORA FICTÍCIA LTDA</w:t>
      </w:r>
      <w:r>
        <w:t xml:space="preserve">, pelos fundamentos a seguir.</w:t>
      </w:r>
    </w:p>
    <w:p>
      <w:pPr>
        <w:pStyle w:val="Centro"/>
      </w:pPr>
      <w:r>
        <w:rPr>
          <w:b/>
        </w:rPr>
        <w:t xml:space="preserve">CONTRARRAZÕES DE APELAÇÃO</w:t>
      </w:r>
    </w:p>
    <w:p>
      <w:pPr>
        <w:pStyle w:val="Normal"/>
      </w:pPr>
      <w:r>
        <w:t xml:space="preserve">Requer a juntada desta resposta e a remessa ao Tribunal competente, nos termos do </w:t>
      </w:r>
      <w:r>
        <w:t xml:space="preserve">art. 1.010, § 1º, do CPC</w:t>
      </w:r>
      <w:r>
        <w:t xml:space="preserve">.</w:t>
      </w:r>
    </w:p>
    <w:p>
      <w:pPr>
        <w:pStyle w:val="Normal"/>
      </w:pPr>
      <w:r>
        <w:t xml:space="preserve">Prazo da resposta: 15 dias úteis (</w:t>
      </w:r>
      <w:r>
        <w:t xml:space="preserve">art. 219 do CPC</w:t>
      </w:r>
      <w:r>
        <w:t xml:space="preserve">). </w:t>
      </w:r>
      <w:r>
        <w:rPr>
          <w:b/>
          <w:highlight w:val="yellow"/>
        </w:rPr>
        <w:t xml:space="preserve">[CONFERIR: intimação para contrarrazões, calendário e protocolo]</w:t>
      </w:r>
    </w:p>
    <w:p>
      <w:pPr>
        <w:pStyle w:val="Normal"/>
      </w:pPr>
      <w:r>
        <w:rPr>
          <w:b/>
          <w:highlight w:val="yellow"/>
        </w:rPr>
        <w:t xml:space="preserve">[CONFERIR: tempestividade do recurso adverso, intimação, calendário e protocolo]</w:t>
      </w:r>
    </w:p>
    <w:p>
      <w:pPr>
        <w:pStyle w:val="Normal"/>
      </w:pPr>
      <w:r>
        <w:rPr>
          <w:b/>
          <w:highlight w:val="yellow"/>
        </w:rPr>
        <w:t xml:space="preserve">[CONFERIR: preparo do recurso adverso, gratuidade ou isenção e comprovantes]</w:t>
      </w:r>
    </w:p>
    <w:p>
      <w:pPr>
        <w:pStyle w:val="Enderecamento"/>
      </w:pPr>
      <w:r>
        <w:t xml:space="preserve">AO TRIBUNAL DE JUSTIÇA DE SÃO PAULO</w:t>
      </w:r>
    </w:p>
    <w:p>
      <w:pPr>
        <w:pStyle w:val="Centro"/>
      </w:pPr>
      <w:r>
        <w:rPr>
          <w:b/>
        </w:rPr>
        <w:t xml:space="preserve">CONTRARRAZÕES DE APELAÇÃO</w:t>
      </w:r>
    </w:p>
    <w:p>
      <w:pPr>
        <w:pStyle w:val="Normal"/>
      </w:pPr>
      <w:r>
        <w:t xml:space="preserve">Parte apelada: </w:t>
      </w:r>
      <w:r>
        <w:rPr>
          <w:b/>
        </w:rPr>
        <w:t xml:space="preserve">LAURA FICTÍCIA MENDES</w:t>
      </w:r>
      <w:r>
        <w:t xml:space="preserve">. Parte apelante: </w:t>
      </w:r>
      <w:r>
        <w:rPr>
          <w:b/>
        </w:rPr>
        <w:t xml:space="preserve">LOJA AURORA FICTÍCIA LTDA</w:t>
      </w:r>
      <w:r>
        <w:t xml:space="preserve">. Processo nº 1000031-00.2026.8.26.0000.</w:t>
      </w:r>
    </w:p>
    <w:p>
      <w:pPr>
        <w:pStyle w:val="Secao"/>
      </w:pPr>
      <w:r>
        <w:t xml:space="preserve">I – SÍNTESE DA SENTENÇA E DO RECURSO ADVERSO</w:t>
      </w:r>
    </w:p>
    <w:p>
      <w:pPr>
        <w:pStyle w:val="Normal"/>
      </w:pPr>
      <w:r>
        <w:t xml:space="preserve">A parte Apelada adquiriu uma geladeira da parte Apelante por R$ 3.200,00 em 10/05/2026 (DOC. 01). O produto foi entregue para reparo em 01/06/2026, mediante ordem de serviço emitida na assistência da loja (DOC. 02). Em 10/07/2026, a própria parte Apelante confirmou, por mensagem, que a geladeira ainda permanecia em reparo (DOC. 03).</w:t>
      </w:r>
    </w:p>
    <w:p>
      <w:pPr>
        <w:pStyle w:val="Normal"/>
      </w:pPr>
      <w:r>
        <w:t xml:space="preserve">A sentença concluiu que a parte Apelante integra a cadeia de fornecimento e responde pelo vício do produto, reconheceu que os documentos demonstram período superior a trinta dias sem reparação e a condenou à restituição simples de R$ 3.200,00, com honorários de 10%, rejeitando o pedido de dano moral.</w:t>
      </w:r>
    </w:p>
    <w:p>
      <w:pPr>
        <w:pStyle w:val="Normal"/>
      </w:pPr>
      <w:r>
        <w:t xml:space="preserve">Na apelação, a parte Apelante sustenta que apenas a fabricante seria responsável pelo vício, porque a loja teria atuado somente como vendedora, e alega que não há prova do transcurso de trinta dias, sob o fundamento de que a ordem de serviço apenas registra o recebimento do bem para reparo.</w:t>
      </w:r>
    </w:p>
    <w:p>
      <w:pPr>
        <w:pStyle w:val="Secao"/>
      </w:pPr>
      <w:r>
        <w:t xml:space="preserve">II – DA RESPOSTA AOS CAPÍTULOS DO RECURSO</w:t>
      </w:r>
    </w:p>
    <w:p>
      <w:pPr>
        <w:pStyle w:val="Capitulo"/>
      </w:pPr>
      <w:r>
        <w:t xml:space="preserve">II.1 – Responsabilidade solidária da loja apelante pelo vício do produto</w:t>
      </w:r>
    </w:p>
    <w:p>
      <w:pPr>
        <w:pStyle w:val="Normal"/>
      </w:pPr>
      <w:r>
        <w:t xml:space="preserve">A parte Apelante sustenta que apenas a fabricante responderia pelo vício do produto, porque teria atuado como mera vendedora. A insurgência não procede. A relação de consumo foi estabelecida diretamente entre a parte Apelada, consumidora nos termos de </w:t>
      </w:r>
      <w:r>
        <w:t xml:space="preserve">art. 2º do CDC</w:t>
      </w:r>
      <w:r>
        <w:t xml:space="preserve">, e a própria loja que comercializou a geladeira por R$ 3.200,00, o que a qualifica como fornecedora na forma de </w:t>
      </w:r>
      <w:r>
        <w:t xml:space="preserve">art. 3º do CDC</w:t>
      </w:r>
      <w:r>
        <w:t xml:space="preserve">, conforme a nota fiscal (DOC. 01). Além disso, foi a própria estrutura da Apelante que recebeu o bem para reparo, como revela a ordem de serviço (DOC. 02).</w:t>
      </w:r>
    </w:p>
    <w:p>
      <w:pPr>
        <w:pStyle w:val="Normal"/>
      </w:pPr>
      <w:r>
        <w:t xml:space="preserve">Nessas condições, a conclusão da sentença deve ser preservada, porque </w:t>
      </w:r>
      <w:r>
        <w:t xml:space="preserve">art. 18 do CDC</w:t>
      </w:r>
      <w:r>
        <w:t xml:space="preserve"> atribui responsabilidade solidária aos fornecedores pelos vícios do produto. A tentativa de deslocar a responsabilidade exclusivamente à fabricante contraria o regime legal aplicável e não afasta a legitimidade material da loja para responder perante a consumidora. Sendo a Apelante integrante da cadeia de fornecimento, sua condição de vendedora não a exonera, mas precisamente a vincula ao dever de restituição reconhecido na sentença.</w:t>
      </w:r>
    </w:p>
    <w:p>
      <w:pPr>
        <w:pStyle w:val="Capitulo"/>
      </w:pPr>
      <w:r>
        <w:t xml:space="preserve">II.2 – Comprovação do decurso do prazo legal sem saneamento do vício</w:t>
      </w:r>
    </w:p>
    <w:p>
      <w:pPr>
        <w:pStyle w:val="Normal"/>
      </w:pPr>
      <w:r>
        <w:t xml:space="preserve">A parte Apelante sustenta que não há prova do transcurso do prazo legal, porque a ordem de serviço apenas registraria o recebimento do produto. A insurgência não procede. De fato, a ordem de serviço comprova a entrega da geladeira para reparo em 01/06/2026 (DOC. 02), e a mensagem posterior da própria loja confirma que, em 10/07/2026, o bem ainda permanecia em reparo (DOC. 03). Foi exatamente com base nessa leitura conjunta da prova documental que a sentença reconheceu a superação do prazo de trinta dias e condenou à restituição do preço.</w:t>
      </w:r>
    </w:p>
    <w:p>
      <w:pPr>
        <w:pStyle w:val="Normal"/>
      </w:pPr>
      <w:r>
        <w:t xml:space="preserve">Aplica-se ao caso o regime do </w:t>
      </w:r>
      <w:r>
        <w:t xml:space="preserve">art. 18, § 1º, do CDC</w:t>
      </w:r>
      <w:r>
        <w:t xml:space="preserve">, pois o vício não foi sanado no prazo máximo legal:</w:t>
      </w:r>
    </w:p>
    <w:p>
      <w:pPr>
        <w:pStyle w:val="Lei"/>
      </w:pPr>
      <w:r>
        <w:t xml:space="preserve">"Art. 18. Os fornecedores de produtos de consumo duráveis ou não duráveis respondem solidariamente pelos vícios de qualidade ou quantidade que os tornem impróprios ou inadequados ao consumo a que se destinam ou lhes diminuam o valor, assim como por aqueles decorrentes da disparidade, com a indicações constantes do recipiente, da embalagem, rotulagem ou mensagem publicitária, respeitadas as variações decorrentes de sua natureza, podendo o consumidor exigir a substituição das partes viciadas.</w:t>
      </w:r>
    </w:p>
    <w:p>
      <w:pPr>
        <w:pStyle w:val="Lei"/>
      </w:pPr>
      <w:r>
        <w:t xml:space="preserve">§ 1º Não sendo o vício sanado no prazo máximo de trinta dias, pode o consumidor exigir, alternativamente e à sua escolha:</w:t>
      </w:r>
    </w:p>
    <w:p>
      <w:pPr>
        <w:pStyle w:val="Lei"/>
      </w:pPr>
      <w:r>
        <w:t xml:space="preserve">I - a substituição do produto por outro da mesma espécie, em perfeitas condições de uso;</w:t>
      </w:r>
    </w:p>
    <w:p>
      <w:pPr>
        <w:pStyle w:val="Lei"/>
      </w:pPr>
      <w:r>
        <w:t xml:space="preserve">II - a restituição imediata da quantia paga, monetariamente atualizada, sem prejuízo de eventuais perdas e danos;</w:t>
      </w:r>
    </w:p>
    <w:p>
      <w:pPr>
        <w:pStyle w:val="Lei"/>
      </w:pPr>
      <w:r>
        <w:t xml:space="preserve">III - o abatimento proporcional do preço." (</w:t>
      </w:r>
      <w:r>
        <w:t xml:space="preserve">art. 18, § 1º, caput e II, do CDC</w:t>
      </w:r>
      <w:r>
        <w:t xml:space="preserve">)</w:t>
      </w:r>
    </w:p>
    <w:p>
      <w:pPr>
        <w:pStyle w:val="Normal"/>
      </w:pPr>
      <w:r>
        <w:t xml:space="preserve">Assim, ainda que (DOC. 02) isoladamente indique apenas o recebimento do produto, sua conjugação com (DOC. 03) demonstra que, entre 01/06/2026 e 10/07/2026, o reparo não havia sido concluído, em período superior a trinta dias. Está, portanto, adequadamente comprovado o suporte fático da restituição simples de R$ 3.200,00 reconhecida na sentença, a qual deve ser mantida nesse capítulo.</w:t>
      </w:r>
    </w:p>
    <w:p>
      <w:pPr>
        <w:pStyle w:val="Secao"/>
      </w:pPr>
      <w:r>
        <w:t xml:space="preserve">III – DOS PEDIDOS</w:t>
      </w:r>
    </w:p>
    <w:p>
      <w:pPr>
        <w:pStyle w:val="Normal"/>
      </w:pPr>
      <w:r>
        <w:t xml:space="preserve">Ante o exposto, requer a parte Apelada:</w:t>
      </w:r>
    </w:p>
    <w:p>
      <w:pPr>
        <w:pStyle w:val="Normal"/>
      </w:pPr>
      <w:r>
        <w:t xml:space="preserve">a) o desprovimento integral da apelação interposta pela parte Apelante;</w:t>
      </w:r>
    </w:p>
    <w:p>
      <w:pPr>
        <w:pStyle w:val="Normal"/>
      </w:pPr>
      <w:r>
        <w:t xml:space="preserve">b) a manutenção da sentença nos capítulos recorridos, especialmente i) quanto ao reconhecimento da responsabilidade da loja apelante pelo vício do produto; ii) quanto ao reconhecimento da superação do prazo legal para saneamento do vício; iii) quanto à condenação da parte Apelante à restituição simples de R$ 3.200,00;</w:t>
      </w:r>
    </w:p>
    <w:p>
      <w:pPr>
        <w:pStyle w:val="Normal"/>
      </w:pPr>
      <w:r>
        <w:t xml:space="preserve">c) a majoração dos honorários advocatícios em grau recursal, somente se cabível, nos limites legais de </w:t>
      </w:r>
      <w:r>
        <w:t xml:space="preserve">art. 85, § 11, do CPC</w:t>
      </w:r>
      <w:r>
        <w:t xml:space="preserve">.</w:t>
      </w:r>
    </w:p>
    <w:p>
      <w:pPr>
        <w:pStyle w:val="Centro"/>
      </w:pPr>
      <w:r>
        <w:t xml:space="preserve">Nestes termos, pede deferimento.</w:t>
      </w:r>
    </w:p>
    <w:p>
      <w:pPr>
        <w:pStyle w:val="Centro"/>
      </w:pPr>
      <w:r>
        <w:rPr>
          <w:b/>
          <w:highlight w:val="yellow"/>
        </w:rPr>
        <w:t xml:space="preserve">[PREENCHER: local e data]</w:t>
      </w:r>
    </w:p>
    <w:p>
      <w:pPr>
        <w:pStyle w:val="Centro"/>
      </w:pPr>
      <w:r>
        <w:rPr>
          <w:b/>
          <w:highlight w:val="yellow"/>
        </w:rPr>
        <w:t xml:space="preserve">[PREENCHER: nome do advogado e número da OAB]</w:t>
      </w:r>
    </w:p>
    <w:p>
      <w:pPr>
        <w:pStyle w:val="Secao"/>
      </w:pPr>
      <w:r>
        <w:t xml:space="preserve">DOCUMENTOS ANEXOS</w:t>
      </w:r>
    </w:p>
    <w:p>
      <w:pPr>
        <w:pStyle w:val="Normal"/>
      </w:pPr>
      <w:r>
        <w:t xml:space="preserve">DOC. 01 – Nota fiscal fictício</w:t>
      </w:r>
    </w:p>
    <w:p>
      <w:pPr>
        <w:pStyle w:val="Normal"/>
      </w:pPr>
      <w:r>
        <w:t xml:space="preserve">DOC. 02 – Ordem de serviço fictício</w:t>
      </w:r>
    </w:p>
    <w:p>
      <w:pPr>
        <w:pStyle w:val="Normal"/>
      </w:pPr>
      <w:r>
        <w:t xml:space="preserve">DOC. 03 – Mensagem da loja fictício</w:t>
      </w:r>
    </w:p>
    <w:p>
      <w:pPr>
        <w:pStyle w:val="Normal"/>
      </w:pPr>
      <w:r>
        <w:t xml:space="preserve">DOC. 04 – Procuração fictícia</w:t>
      </w:r>
    </w:p>
    <w:sectPr>
      <w:pgSz w:w="11906" w:h="16838"/>
      <w:pgMar w:top="1701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pt-BR"/>
      </w:rPr>
    </w:rPrDefault>
    <w:pPrDefault>
      <w:pPr>
        <w:spacing w:after="160" w:line="360" w:lineRule="auto"/>
        <w:jc w:val="both"/>
      </w:pPr>
    </w:pPrDefault>
  </w:docDefaults>
  <w:style w:type="paragraph" w:default="1" w:styleId="Normal">
    <w:name w:val="Normal"/>
    <w:pPr>
      <w:ind w:firstLine="1418"/>
    </w:pPr>
  </w:style>
  <w:style w:type="paragraph" w:styleId="Enderecamento">
    <w:name w:val="Endereçamento"/>
    <w:basedOn w:val="Normal"/>
    <w:pPr>
      <w:spacing w:after="960"/>
      <w:ind w:firstLine="0"/>
    </w:pPr>
    <w:rPr>
      <w:b/>
    </w:rPr>
  </w:style>
  <w:style w:type="paragraph" w:styleId="Secao">
    <w:name w:val="Seção"/>
    <w:basedOn w:val="Normal"/>
    <w:pPr>
      <w:keepNext/>
      <w:spacing w:before="360" w:after="160"/>
      <w:ind w:firstLine="0"/>
      <w:jc w:val="left"/>
      <w:outlineLvl w:val="0"/>
    </w:pPr>
    <w:rPr>
      <w:b/>
    </w:rPr>
  </w:style>
  <w:style w:type="paragraph" w:styleId="Capitulo">
    <w:name w:val="Capítulo"/>
    <w:basedOn w:val="Normal"/>
    <w:pPr>
      <w:keepNext/>
      <w:spacing w:before="240" w:after="160"/>
      <w:ind w:firstLine="0"/>
      <w:jc w:val="left"/>
      <w:outlineLvl w:val="1"/>
    </w:pPr>
    <w:rPr>
      <w:b/>
    </w:rPr>
  </w:style>
  <w:style w:type="paragraph" w:styleId="Lei">
    <w:name w:val="Lei transcrita"/>
    <w:basedOn w:val="Normal"/>
    <w:pPr>
      <w:spacing w:after="120" w:line="240" w:lineRule="auto"/>
      <w:ind w:left="2268" w:firstLine="0"/>
    </w:pPr>
    <w:rPr>
      <w:sz w:val="20"/>
      <w:szCs w:val="20"/>
    </w:rPr>
  </w:style>
  <w:style w:type="paragraph" w:styleId="Centro">
    <w:name w:val="Centralizado"/>
    <w:basedOn w:val="Normal"/>
    <w:pPr>
      <w:ind w:firstLine="0"/>
      <w:jc w:val="center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