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Enderecamento"/>
      </w:pPr>
      <w:r>
        <w:t xml:space="preserve">AO JUÍZO DO 1º JUIZADO ESPECIAL CÍVEL DE RECIFE/PE</w:t>
      </w:r>
    </w:p>
    <w:p>
      <w:pPr>
        <w:pStyle w:val="Normal"/>
      </w:pPr>
      <w:r>
        <w:t xml:space="preserve">Processo nº 1000023-00.2026.8.26.0003</w:t>
      </w:r>
    </w:p>
    <w:p>
      <w:pPr>
        <w:pStyle w:val="Normal"/>
      </w:pPr>
      <w:r>
        <w:rPr>
          <w:b/>
        </w:rPr>
        <w:t xml:space="preserve">LIA FICTÍCIA MONTEIRO</w:t>
      </w:r>
      <w:r>
        <w:t xml:space="preserve">, já qualificado(a) nos autos, por seu advogado, vem interpor recurso inominado contra a sentença, em face de </w:t>
      </w:r>
      <w:r>
        <w:rPr>
          <w:b/>
        </w:rPr>
        <w:t xml:space="preserve">LOJA LUME FICTÍCIA LTDA.</w:t>
      </w:r>
      <w:r>
        <w:t xml:space="preserve">, pelos fundamentos a seguir.</w:t>
      </w:r>
    </w:p>
    <w:p>
      <w:pPr>
        <w:pStyle w:val="Centro"/>
      </w:pPr>
      <w:r>
        <w:rPr>
          <w:b/>
        </w:rPr>
        <w:t xml:space="preserve">RECURSO INOMINADO</w:t>
      </w:r>
    </w:p>
    <w:p>
      <w:pPr>
        <w:pStyle w:val="Normal"/>
      </w:pPr>
      <w:r>
        <w:t xml:space="preserve">Requer o recebimento do recurso, a intimação da parte recorrida para resposta e a remessa à Turma Recursal competente, nos termos dos </w:t>
      </w:r>
      <w:r>
        <w:t xml:space="preserve">arts. 41 e 42 da Lei nº 9.099/1995</w:t>
      </w:r>
      <w:r>
        <w:t xml:space="preserve">.</w:t>
      </w:r>
    </w:p>
    <w:p>
      <w:pPr>
        <w:pStyle w:val="Normal"/>
      </w:pPr>
      <w:r>
        <w:rPr>
          <w:b/>
          <w:highlight w:val="yellow"/>
        </w:rPr>
        <w:t xml:space="preserve">[CONFERIR: data da ciência da sentença, tempestividade e preparo ou gratuidade; não se presume recolhimento]</w:t>
      </w:r>
    </w:p>
    <w:p>
      <w:pPr>
        <w:pStyle w:val="Enderecamento"/>
      </w:pPr>
      <w:r>
        <w:t xml:space="preserve">À TURMA RECURSAL COMPETENTE DO JUIZADO ESPECIAL CÍVEL</w:t>
      </w:r>
    </w:p>
    <w:p>
      <w:pPr>
        <w:pStyle w:val="Centro"/>
      </w:pPr>
      <w:r>
        <w:rPr>
          <w:b/>
        </w:rPr>
        <w:t xml:space="preserve">RAZÕES DO RECURSO INOMINADO</w:t>
      </w:r>
    </w:p>
    <w:p>
      <w:pPr>
        <w:pStyle w:val="Normal"/>
      </w:pPr>
      <w:r>
        <w:t xml:space="preserve">Parte recorrente: </w:t>
      </w:r>
      <w:r>
        <w:rPr>
          <w:b/>
        </w:rPr>
        <w:t xml:space="preserve">LIA FICTÍCIA MONTEIRO</w:t>
      </w:r>
      <w:r>
        <w:t xml:space="preserve">. Parte recorrida: </w:t>
      </w:r>
      <w:r>
        <w:rPr>
          <w:b/>
        </w:rPr>
        <w:t xml:space="preserve">LOJA LUME FICTÍCIA LTDA.</w:t>
      </w:r>
      <w:r>
        <w:t xml:space="preserve">. Processo nº 1000023-00.2026.8.26.0003.</w:t>
      </w:r>
    </w:p>
    <w:p>
      <w:pPr>
        <w:pStyle w:val="Secao"/>
      </w:pPr>
      <w:r>
        <w:t xml:space="preserve">I – SÍNTESE DO PROCESSO E DA SENTENÇA</w:t>
      </w:r>
    </w:p>
    <w:p>
      <w:pPr>
        <w:pStyle w:val="Normal"/>
      </w:pPr>
      <w:r>
        <w:t xml:space="preserve">A parte Recorrente adquiriu um televisor pelo valor de R$ 2.400,00 em 03/02/2026 (DOC. 01).</w:t>
      </w:r>
    </w:p>
    <w:p>
      <w:pPr>
        <w:pStyle w:val="Normal"/>
      </w:pPr>
      <w:r>
        <w:t xml:space="preserve">A compra do aparelho corresponde ao bem cujo vício motivou o ajuizamento da demanda e o pedido de restituição integral do preço pago (DOC. 01).</w:t>
      </w:r>
    </w:p>
    <w:p>
      <w:pPr>
        <w:pStyle w:val="Normal"/>
      </w:pPr>
      <w:r>
        <w:t xml:space="preserve">Em 10/02/2026, o televisor foi entregue à assistência técnica para reparo (DOC. 02).</w:t>
      </w:r>
    </w:p>
    <w:p>
      <w:pPr>
        <w:pStyle w:val="Normal"/>
      </w:pPr>
      <w:r>
        <w:t xml:space="preserve">A ordem de serviço juntada aos autos registra o recebimento do aparelho nessa data e não contém indicação de saída ou de devolução do produto à parte Recorrente (DOC. 02).</w:t>
      </w:r>
    </w:p>
    <w:p>
      <w:pPr>
        <w:pStyle w:val="Normal"/>
      </w:pPr>
      <w:r>
        <w:t xml:space="preserve">Em 30/04/2026, a assistência informou que o aparelho aguardava peça e ainda não havia sido devolvido à parte Recorrente (DOC. 03).</w:t>
      </w:r>
    </w:p>
    <w:p>
      <w:pPr>
        <w:pStyle w:val="Normal"/>
      </w:pPr>
      <w:r>
        <w:t xml:space="preserve">Até essa data, portanto, o produto permanecia fora da posse da parte Recorrente, sem conclusão do reparo e sem devolução do televisor (DOC. 03).</w:t>
      </w:r>
    </w:p>
    <w:p>
      <w:pPr>
        <w:pStyle w:val="Normal"/>
      </w:pPr>
      <w:r>
        <w:t xml:space="preserve">A ação foi proposta pela parte Recorrente com pedido de restituição do preço pago pelo televisor, sem formulação de pedido de indenização por dano moral, conforme a delimitação da demanda constante do relato processual.</w:t>
      </w:r>
    </w:p>
    <w:p>
      <w:pPr>
        <w:pStyle w:val="Normal"/>
      </w:pPr>
      <w:r>
        <w:t xml:space="preserve">A sentença julgou improcedente o pedido de restituição sob o fundamento de que a responsabilidade pelo vício do produto seria apenas da fabricante. Também consignou não estar comprovada a ultrapassagem do prazo de trinta dias para saneamento do vício, por entender que o documento juntado aos autos seria apenas orçamento. O requerimento de gratuidade da justiça permaneceu sem análise. Não houve acordo nem laudo arbitral, conforme o teor da decisão reproduzida no processo.</w:t>
      </w:r>
    </w:p>
    <w:p>
      <w:pPr>
        <w:pStyle w:val="Secao"/>
      </w:pPr>
      <w:r>
        <w:t xml:space="preserve">II – DAS RAZÕES DE REFORMA OU ANULAÇÃO</w:t>
      </w:r>
    </w:p>
    <w:p>
      <w:pPr>
        <w:pStyle w:val="Capitulo"/>
      </w:pPr>
      <w:r>
        <w:t xml:space="preserve">II.1 – Apreciação da gratuidade requerida e verificação do preparo recursal</w:t>
      </w:r>
    </w:p>
    <w:p>
      <w:pPr>
        <w:pStyle w:val="Normal"/>
      </w:pPr>
      <w:r>
        <w:t xml:space="preserve">O presente recurso é cabível contra a sentença proferida no Juizado Especial, porque não se trata de decisão homologatória de conciliação nem de laudo arbitral, incidindo </w:t>
      </w:r>
      <w:r>
        <w:t xml:space="preserve">art. 41 da Lei nº 9.099/1995</w:t>
      </w:r>
      <w:r>
        <w:t xml:space="preserve">. No caso, a parte Recorrente teve ciência da sentença em 01/10/2026, mas o relato não informa a data do protocolo nem os elementos necessários à aferição concreta do prazo, razão pela qual a interposição deve ser examinada segundo a regra legal própria, a ser conferida nos autos:</w:t>
      </w:r>
    </w:p>
    <w:p>
      <w:pPr>
        <w:pStyle w:val="Lei"/>
      </w:pPr>
      <w:r>
        <w:t xml:space="preserve">"Art. 42. O recurso será interposto no prazo de dez dias, contados da ciência da sentença, por petição escrita, da qual constarão as razões e o pedido do recorrente." (</w:t>
      </w:r>
      <w:r>
        <w:t xml:space="preserve">art. 42 da Lei nº 9.099/1995</w:t>
      </w:r>
      <w:r>
        <w:t xml:space="preserve">)</w:t>
      </w:r>
    </w:p>
    <w:p>
      <w:pPr>
        <w:pStyle w:val="Normal"/>
      </w:pPr>
      <w:r>
        <w:t xml:space="preserve">Há, porém, questão prévia incontornável: a parte Recorrente requereu gratuidade da justiça na origem, e a sentença permaneceu omissa quanto a esse pedido. Essa omissão impede que se conclua, desde logo, pela exigibilidade do preparo sem apreciação prévia do benefício, sobretudo porque a gratuidade pode ser requerida pela parte e, uma vez formulada, seu indeferimento exige análise judicial própria, nos termos de </w:t>
      </w:r>
      <w:r>
        <w:t xml:space="preserve">art. 99 do CPC</w:t>
      </w:r>
      <w:r>
        <w:t xml:space="preserve">. Sendo a parte Recorrente pessoa natural, sua alegação de insuficiência goza da presunção legal pertinente, nos termos de </w:t>
      </w:r>
      <w:r>
        <w:t xml:space="preserve">art. 99, § 3º, do CPC</w:t>
      </w:r>
      <w:r>
        <w:t xml:space="preserve">, e a abrangência da gratuidade alcança também os depósitos e despesas recursais previstos em lei, conforme </w:t>
      </w:r>
      <w:r>
        <w:t xml:space="preserve">art. 98, § 1º, VIII, do CPC</w:t>
      </w:r>
      <w:r>
        <w:t xml:space="preserve">.</w:t>
      </w:r>
    </w:p>
    <w:p>
      <w:pPr>
        <w:pStyle w:val="Normal"/>
      </w:pPr>
      <w:r>
        <w:t xml:space="preserve">Assim, o fundamento omisso da sentença quanto à gratuidade deve ser sanado antes de qualquer conclusão sobre eventual deserção. Não se pode exigir da parte Recorrente o recolhimento do preparo como premissa já definida quando o requerimento de assistência judiciária gratuita, formulado oportunamente, sequer foi apreciado. A verificação do preparo, portanto, depende logicamente da análise antecedente desse pedido, em observância ao regime legal dos </w:t>
      </w:r>
      <w:r>
        <w:t xml:space="preserve">art. 98 do CPC</w:t>
      </w:r>
      <w:r>
        <w:t xml:space="preserve"> e </w:t>
      </w:r>
      <w:r>
        <w:t xml:space="preserve">art. 99 do CPC</w:t>
      </w:r>
      <w:r>
        <w:t xml:space="preserve">.</w:t>
      </w:r>
    </w:p>
    <w:p>
      <w:pPr>
        <w:pStyle w:val="Normal"/>
      </w:pPr>
      <w:r>
        <w:t xml:space="preserve">Desse modo, impõe-se o conhecimento do recurso, com apreciação expressa da gratuidade da justiça já requerida e, somente após essa definição, a conferência do preparo nos exatos termos do </w:t>
      </w:r>
      <w:r>
        <w:t xml:space="preserve">art. 42, § 1º, da Lei nº 9.099/1995</w:t>
      </w:r>
      <w:r>
        <w:t xml:space="preserve">, prosseguindo-se com a intimação da parte Recorrida para resposta e a remessa à Turma Recursal competente, na forma do </w:t>
      </w:r>
      <w:r>
        <w:t xml:space="preserve">art. 42, § 2º, da Lei nº 9.099/1995</w:t>
      </w:r>
      <w:r>
        <w:t xml:space="preserve">.</w:t>
      </w:r>
    </w:p>
    <w:p>
      <w:pPr>
        <w:pStyle w:val="Capitulo"/>
      </w:pPr>
      <w:r>
        <w:t xml:space="preserve">II.2 – Responsabilidade solidária da parte Recorrida pelo vício do produto</w:t>
      </w:r>
    </w:p>
    <w:p>
      <w:pPr>
        <w:pStyle w:val="Normal"/>
      </w:pPr>
      <w:r>
        <w:t xml:space="preserve">A parte Recorrente adquiriu da parte Recorrida um televisor pelo valor de R$ 2.400,00 em 03/02/2026, conforme nota fiscal (DOC. 01). A própria relação jurídica descrita nos autos já evidencia a incidência do microssistema consumerista, pois a parte Recorrente figura como destinatária final do produto </w:t>
      </w:r>
      <w:r>
        <w:t xml:space="preserve">art. 2º do CDC</w:t>
      </w:r>
      <w:r>
        <w:t xml:space="preserve"> e a parte Recorrida, na condição de vendedora, integra a cadeia de fornecimento como comerciante </w:t>
      </w:r>
      <w:r>
        <w:t xml:space="preserve">art. 3º do CDC</w:t>
      </w:r>
      <w:r>
        <w:t xml:space="preserve">. Por isso, o fundamento da sentença que restringiu a responsabilidade pelo vício apenas à fabricante não se sustenta.</w:t>
      </w:r>
    </w:p>
    <w:p>
      <w:pPr>
        <w:pStyle w:val="Normal"/>
      </w:pPr>
      <w:r>
        <w:t xml:space="preserve">A disciplina legal aplicável ao caso é expressa ao impor responsabilidade solidária entre os fornecedores pelos vícios do produto:</w:t>
      </w:r>
    </w:p>
    <w:p>
      <w:pPr>
        <w:pStyle w:val="Lei"/>
      </w:pPr>
      <w:r>
        <w:t xml:space="preserve">"Art. 18. Os fornecedores de produtos de consumo duráveis ou não duráveis respondem solidariamente pelos vícios de qualidade ou quantidade que os tornem impróprios ou inadequados ao consumo a que se destinam ou lhes diminuam o valor, assim como por aqueles decorrentes da disparidade, com a indicações constantes do recipiente, da embalagem, rotulagem ou mensagem publicitária, respeitadas as variações decorrentes de sua natureza, podendo o consumidor exigir a substituição das partes viciadas." (</w:t>
      </w:r>
      <w:r>
        <w:t xml:space="preserve">art. 18 do CDC</w:t>
      </w:r>
      <w:r>
        <w:t xml:space="preserve">)</w:t>
      </w:r>
    </w:p>
    <w:p>
      <w:pPr>
        <w:pStyle w:val="Normal"/>
      </w:pPr>
      <w:r>
        <w:t xml:space="preserve">À luz de </w:t>
      </w:r>
      <w:r>
        <w:t xml:space="preserve">art. 18 do CDC</w:t>
      </w:r>
      <w:r>
        <w:t xml:space="preserve">, não há exclusão da responsabilidade da comerciante que vendeu o bem e recebeu o preço. Ao contrário, o regime do vício do produto alcança todos os fornecedores da cadeia de consumo, inclusive a parte Recorrida, independentemente de ter sido ela a fabricante do televisor. A sentença, ao afastar a legitimidade material da vendedora para responder pela restituição pretendida, contrariou diretamente o comando legal e esvaziou a proteção conferida ao consumidor no âmbito da responsabilidade solidária.</w:t>
      </w:r>
    </w:p>
    <w:p>
      <w:pPr>
        <w:pStyle w:val="Normal"/>
      </w:pPr>
      <w:r>
        <w:t xml:space="preserve">Como o pedido inicial foi precisamente de restituição do valor pago, a premissa adotada na sentença impede indevidamente o exercício de faculdade assegurada ao consumidor contra qualquer dos fornecedores responsáveis pelo vício, na forma de </w:t>
      </w:r>
      <w:r>
        <w:t xml:space="preserve">art. 18 do CDC</w:t>
      </w:r>
      <w:r>
        <w:t xml:space="preserve">. Sendo a parte Recorrida quem colocou o produto no mercado e contratou diretamente com a parte Recorrente (DOC. 01), a reforma desse fundamento é medida necessária para reconhecer sua responsabilidade solidária e viabilizar a restituição do preço pago.</w:t>
      </w:r>
    </w:p>
    <w:p>
      <w:pPr>
        <w:pStyle w:val="Capitulo"/>
      </w:pPr>
      <w:r>
        <w:t xml:space="preserve">II.3 – Comprovação da ultrapassagem do prazo legal de trinta dias e direito à restituição integral</w:t>
      </w:r>
    </w:p>
    <w:p>
      <w:pPr>
        <w:pStyle w:val="Normal"/>
      </w:pPr>
      <w:r>
        <w:t xml:space="preserve">A sentença merece reforma também quanto ao fundamento de que não teria sido comprovada a ultrapassagem do prazo legal de trinta dias para saneamento do vício. O documento juntado não retrata mero orçamento: a ordem de serviço comprova o recebimento do televisor pela assistência técnica em 10/02/2026, sem qualquer registro de saída ou devolução do produto (DOC. 02). Depois, em 30/04/2026, a própria assistência informou que o aparelho ainda aguardava peça e permanecia sem devolução (DOC. 03).</w:t>
      </w:r>
    </w:p>
    <w:p>
      <w:pPr>
        <w:pStyle w:val="Normal"/>
      </w:pPr>
      <w:r>
        <w:t xml:space="preserve">Esse conjunto documental demonstra, de forma objetiva, que o bem permaneceu em reparo por período muito superior ao prazo máximo previsto em </w:t>
      </w:r>
      <w:r>
        <w:t xml:space="preserve">art. 18, § 1º, do CDC</w:t>
      </w:r>
      <w:r>
        <w:t xml:space="preserve">. Não há, nos documentos indicados, simples estimativa de conserto, mas sim prova de ingresso do produto na assistência e de sua permanência ali por mais de dois meses. Por isso, o fundamento sentencial de ausência de comprovação do decurso do prazo de trinta dias não se sustenta diante da prova produzida.</w:t>
      </w:r>
    </w:p>
    <w:p>
      <w:pPr>
        <w:pStyle w:val="Normal"/>
      </w:pPr>
      <w:r>
        <w:t xml:space="preserve">Ultrapassado o prazo legal sem solução do vício, nasce para a parte consumidora o direito de escolher uma das alternativas do </w:t>
      </w:r>
      <w:r>
        <w:t xml:space="preserve">art. 18, § 1º, do CDC</w:t>
      </w:r>
      <w:r>
        <w:t xml:space="preserve">, entre elas a restituição imediata da quantia paga. Foi exatamente essa a opção formulada pela parte Recorrente desde a petição inicial, de modo que, comprovada a permanência do defeito além do lapso legal, impõe-se o acolhimento da restituição integral do preço.</w:t>
      </w:r>
    </w:p>
    <w:p>
      <w:pPr>
        <w:pStyle w:val="Normal"/>
      </w:pPr>
      <w:r>
        <w:t xml:space="preserve">Além disso, tratando-se de produto durável, a reclamação apresentada dentro do período de uso e formalizada perante a assistência afasta qualquer dúvida quanto ao exercício regular do direito da consumidora, nos termos de </w:t>
      </w:r>
      <w:r>
        <w:t xml:space="preserve">art. 26 do CDC</w:t>
      </w:r>
      <w:r>
        <w:t xml:space="preserve">. Como o televisor foi adquirido por R$ 2.400,00 (DOC. 01) e não foi devolvido em condições de uso no prazo legal, deve ser reformado esse capítulo da sentença para reconhecer o direito da parte Recorrente à restituição integral desse valor, na forma do </w:t>
      </w:r>
      <w:r>
        <w:t xml:space="preserve">art. 18, § 1º, II, do CDC</w:t>
      </w:r>
      <w:r>
        <w:t xml:space="preserve">.</w:t>
      </w:r>
    </w:p>
    <w:p>
      <w:pPr>
        <w:pStyle w:val="Secao"/>
      </w:pPr>
      <w:r>
        <w:t xml:space="preserve">III – DOS PEDIDOS</w:t>
      </w:r>
    </w:p>
    <w:p>
      <w:pPr>
        <w:pStyle w:val="Normal"/>
      </w:pPr>
      <w:r>
        <w:t xml:space="preserve">Ante o exposto, requer a parte Recorrente:</w:t>
      </w:r>
    </w:p>
    <w:p>
      <w:pPr>
        <w:pStyle w:val="Normal"/>
      </w:pPr>
      <w:r>
        <w:t xml:space="preserve">a) o recebimento do presente recurso inominado, com a prévia apreciação do requerimento de gratuidade da justiça já formulado e ainda não analisado, bem como a conferência do preparo nos termos legais </w:t>
      </w:r>
      <w:r>
        <w:t xml:space="preserve">art. 42 da Lei nº 9.099/1995</w:t>
      </w:r>
      <w:r>
        <w:t xml:space="preserve"> </w:t>
      </w:r>
      <w:r>
        <w:t xml:space="preserve">art. 98 do CPC</w:t>
      </w:r>
      <w:r>
        <w:t xml:space="preserve"> </w:t>
      </w:r>
      <w:r>
        <w:t xml:space="preserve">art. 99 do CPC</w:t>
      </w:r>
      <w:r>
        <w:t xml:space="preserve">;</w:t>
      </w:r>
    </w:p>
    <w:p>
      <w:pPr>
        <w:pStyle w:val="Normal"/>
      </w:pPr>
      <w:r>
        <w:t xml:space="preserve">b) o conhecimento do recurso, por ser cabível contra a sentença, nos termos </w:t>
      </w:r>
      <w:r>
        <w:t xml:space="preserve">art. 41 da Lei nº 9.099/1995</w:t>
      </w:r>
      <w:r>
        <w:t xml:space="preserve"> e </w:t>
      </w:r>
      <w:r>
        <w:t xml:space="preserve">art. 42 da Lei nº 9.099/1995</w:t>
      </w:r>
      <w:r>
        <w:t xml:space="preserve">;</w:t>
      </w:r>
    </w:p>
    <w:p>
      <w:pPr>
        <w:pStyle w:val="Normal"/>
      </w:pPr>
      <w:r>
        <w:t xml:space="preserve">c) o provimento do recurso para reformar a sentença nos capítulos impugnados, a fim de afastar i) o fundamento de que a responsabilidade pelo vício do produto seria apenas da fabricante; ii) o fundamento de que não teria sido comprovada a ultrapassagem do prazo de trinta dias para saneamento do vício;</w:t>
      </w:r>
    </w:p>
    <w:p>
      <w:pPr>
        <w:pStyle w:val="Normal"/>
      </w:pPr>
      <w:r>
        <w:t xml:space="preserve">d) em consequência da reforma, a condenação da parte Recorrida à restituição da quantia de R$ 2.400,00 à parte Recorrente;</w:t>
      </w:r>
    </w:p>
    <w:p>
      <w:pPr>
        <w:pStyle w:val="Normal"/>
      </w:pPr>
      <w:r>
        <w:t xml:space="preserve">e) a intimação da parte Recorrida para apresentar resposta ao recurso, na forma legal </w:t>
      </w:r>
      <w:r>
        <w:t xml:space="preserve">art. 42 da Lei nº 9.099/1995</w:t>
      </w:r>
      <w:r>
        <w:t xml:space="preserve">;</w:t>
      </w:r>
    </w:p>
    <w:p>
      <w:pPr>
        <w:pStyle w:val="Normal"/>
      </w:pPr>
      <w:r>
        <w:t xml:space="preserve">f) após as formalidades legais, a remessa dos autos à Turma Recursal competente </w:t>
      </w:r>
      <w:r>
        <w:t xml:space="preserve">art. 41 da Lei nº 9.099/1995</w:t>
      </w:r>
      <w:r>
        <w:t xml:space="preserve">.</w:t>
      </w:r>
    </w:p>
    <w:p>
      <w:pPr>
        <w:pStyle w:val="Centro"/>
      </w:pPr>
      <w:r>
        <w:t xml:space="preserve">Nestes termos, pede deferimento.</w:t>
      </w:r>
    </w:p>
    <w:p>
      <w:pPr>
        <w:pStyle w:val="Centro"/>
      </w:pPr>
      <w:r>
        <w:rPr>
          <w:b/>
          <w:highlight w:val="yellow"/>
        </w:rPr>
        <w:t xml:space="preserve">[PREENCHER: local e data]</w:t>
      </w:r>
    </w:p>
    <w:p>
      <w:pPr>
        <w:pStyle w:val="Centro"/>
      </w:pPr>
      <w:r>
        <w:rPr>
          <w:b/>
          <w:highlight w:val="yellow"/>
        </w:rPr>
        <w:t xml:space="preserve">[PREENCHER: nome do advogado e número da OAB]</w:t>
      </w:r>
    </w:p>
    <w:p>
      <w:pPr>
        <w:pStyle w:val="Secao"/>
      </w:pPr>
      <w:r>
        <w:t xml:space="preserve">DOCUMENTOS ANEXOS</w:t>
      </w:r>
    </w:p>
    <w:p>
      <w:pPr>
        <w:pStyle w:val="Normal"/>
      </w:pPr>
      <w:r>
        <w:t xml:space="preserve">DOC. 01 – Nota fiscal</w:t>
      </w:r>
    </w:p>
    <w:p>
      <w:pPr>
        <w:pStyle w:val="Normal"/>
      </w:pPr>
      <w:r>
        <w:t xml:space="preserve">DOC. 02 – Ordem de serviço</w:t>
      </w:r>
    </w:p>
    <w:p>
      <w:pPr>
        <w:pStyle w:val="Normal"/>
      </w:pPr>
      <w:r>
        <w:t xml:space="preserve">DOC. 03 – Mensagem da assistência</w:t>
      </w:r>
    </w:p>
    <w:sectPr>
      <w:pgSz w:w="11906" w:h="16838"/>
      <w:pgMar w:top="1701" w:right="1134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pt-BR"/>
      </w:rPr>
    </w:rPrDefault>
    <w:pPrDefault>
      <w:pPr>
        <w:spacing w:after="160" w:line="360" w:lineRule="auto"/>
        <w:jc w:val="both"/>
      </w:pPr>
    </w:pPrDefault>
  </w:docDefaults>
  <w:style w:type="paragraph" w:default="1" w:styleId="Normal">
    <w:name w:val="Normal"/>
    <w:pPr>
      <w:ind w:firstLine="1418"/>
    </w:pPr>
  </w:style>
  <w:style w:type="paragraph" w:styleId="Enderecamento">
    <w:name w:val="Endereçamento"/>
    <w:basedOn w:val="Normal"/>
    <w:pPr>
      <w:spacing w:after="960"/>
      <w:ind w:firstLine="0"/>
    </w:pPr>
    <w:rPr>
      <w:b/>
    </w:rPr>
  </w:style>
  <w:style w:type="paragraph" w:styleId="Secao">
    <w:name w:val="Seção"/>
    <w:basedOn w:val="Normal"/>
    <w:pPr>
      <w:keepNext/>
      <w:spacing w:before="360" w:after="160"/>
      <w:ind w:firstLine="0"/>
      <w:jc w:val="left"/>
      <w:outlineLvl w:val="0"/>
    </w:pPr>
    <w:rPr>
      <w:b/>
    </w:rPr>
  </w:style>
  <w:style w:type="paragraph" w:styleId="Capitulo">
    <w:name w:val="Capítulo"/>
    <w:basedOn w:val="Normal"/>
    <w:pPr>
      <w:keepNext/>
      <w:spacing w:before="240" w:after="160"/>
      <w:ind w:firstLine="0"/>
      <w:jc w:val="left"/>
      <w:outlineLvl w:val="1"/>
    </w:pPr>
    <w:rPr>
      <w:b/>
    </w:rPr>
  </w:style>
  <w:style w:type="paragraph" w:styleId="Lei">
    <w:name w:val="Lei transcrita"/>
    <w:basedOn w:val="Normal"/>
    <w:pPr>
      <w:spacing w:after="120" w:line="240" w:lineRule="auto"/>
      <w:ind w:left="2268" w:firstLine="0"/>
    </w:pPr>
    <w:rPr>
      <w:sz w:val="20"/>
      <w:szCs w:val="20"/>
    </w:rPr>
  </w:style>
  <w:style w:type="paragraph" w:styleId="Centro">
    <w:name w:val="Centralizado"/>
    <w:basedOn w:val="Normal"/>
    <w:pPr>
      <w:ind w:firstLine="0"/>
      <w:jc w:val="center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