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Enderecamento"/>
      </w:pPr>
      <w:r>
        <w:t xml:space="preserve">AO JUÍZO DA 2ª VARA DO TRABALHO DE CAMPINAS/SP</w:t>
      </w:r>
    </w:p>
    <w:p>
      <w:pPr>
        <w:pStyle w:val="Normal"/>
      </w:pPr>
      <w:r>
        <w:t xml:space="preserve">Processo nº 0000035-00.2026.5.15.0000</w:t>
      </w:r>
    </w:p>
    <w:p>
      <w:pPr>
        <w:pStyle w:val="Normal"/>
      </w:pPr>
      <w:r>
        <w:rPr>
          <w:b/>
        </w:rPr>
        <w:t xml:space="preserve">RENATA FICTÍCIA LIMA</w:t>
      </w:r>
      <w:r>
        <w:t xml:space="preserve">, parte já qualificada nos autos, por sua representação processual, vem interpor recurso ordinário trabalhista contra a sentença, em face de </w:t>
      </w:r>
      <w:r>
        <w:rPr>
          <w:b/>
        </w:rPr>
        <w:t xml:space="preserve">FÁBRICA ÍRIS FICTÍCIA LTDA</w:t>
      </w:r>
      <w:r>
        <w:t xml:space="preserve">, pelos fundamentos a seguir.</w:t>
      </w:r>
    </w:p>
    <w:p>
      <w:pPr>
        <w:pStyle w:val="Centro"/>
      </w:pPr>
      <w:r>
        <w:rPr>
          <w:b/>
        </w:rPr>
        <w:t xml:space="preserve">RECURSO ORDINÁRIO TRABALHISTA</w:t>
      </w:r>
    </w:p>
    <w:p>
      <w:pPr>
        <w:pStyle w:val="Normal"/>
      </w:pPr>
      <w:r>
        <w:t xml:space="preserve">Requer o recebimento do recurso, a intimação da parte recorrida para resposta e a remessa ao Tribunal Regional do Trabalho competente (</w:t>
      </w:r>
      <w:r>
        <w:t xml:space="preserve">art. 895, I, da CLT</w:t>
      </w:r>
      <w:r>
        <w:t xml:space="preserve">).</w:t>
      </w:r>
    </w:p>
    <w:p>
      <w:pPr>
        <w:pStyle w:val="Normal"/>
      </w:pPr>
      <w:r>
        <w:t xml:space="preserve">Prazo: 8 dias úteis (</w:t>
      </w:r>
      <w:r>
        <w:t xml:space="preserve">art. 895, I, da CLT</w:t>
      </w:r>
      <w:r>
        <w:t xml:space="preserve"> e </w:t>
      </w:r>
      <w:r>
        <w:t xml:space="preserve">art. 775 da CLT</w:t>
      </w:r>
      <w:r>
        <w:t xml:space="preserve">). Intimação informada: 01/10/2026. </w:t>
      </w:r>
      <w:r>
        <w:rPr>
          <w:b/>
          <w:highlight w:val="yellow"/>
        </w:rPr>
        <w:t xml:space="preserve">[CONFERIR: calendário, suspensões e data de protocolo para verificar a tempestividade]</w:t>
      </w:r>
    </w:p>
    <w:p>
      <w:pPr>
        <w:pStyle w:val="Normal"/>
      </w:pPr>
      <w:r>
        <w:t xml:space="preserve">Custas: atribuídas à parte recorrida na sentença (</w:t>
      </w:r>
      <w:r>
        <w:t xml:space="preserve">art. 789, § 1º, da CLT</w:t>
      </w:r>
      <w:r>
        <w:t xml:space="preserve">). Justiça gratuita já concedida à parte recorrente, sem condenação pecuniária dela. Depósito recursal: inexigível nas condições informadas (</w:t>
      </w:r>
      <w:r>
        <w:t xml:space="preserve">art. 899, § 10, da CLT</w:t>
      </w:r>
      <w:r>
        <w:t xml:space="preserve">).</w:t>
      </w:r>
    </w:p>
    <w:p>
      <w:pPr>
        <w:pStyle w:val="Enderecamento"/>
      </w:pPr>
      <w:r>
        <w:t xml:space="preserve">AO TRIBUNAL REGIONAL DO TRABALHO DA 15ª REGIÃO</w:t>
      </w:r>
    </w:p>
    <w:p>
      <w:pPr>
        <w:pStyle w:val="Centro"/>
      </w:pPr>
      <w:r>
        <w:rPr>
          <w:b/>
        </w:rPr>
        <w:t xml:space="preserve">RAZÕES DO RECURSO ORDINÁRIO TRABALHISTA</w:t>
      </w:r>
    </w:p>
    <w:p>
      <w:pPr>
        <w:pStyle w:val="Normal"/>
      </w:pPr>
      <w:r>
        <w:t xml:space="preserve">Parte recorrente: </w:t>
      </w:r>
      <w:r>
        <w:rPr>
          <w:b/>
        </w:rPr>
        <w:t xml:space="preserve">RENATA FICTÍCIA LIMA</w:t>
      </w:r>
      <w:r>
        <w:t xml:space="preserve">. Parte recorrida: </w:t>
      </w:r>
      <w:r>
        <w:rPr>
          <w:b/>
        </w:rPr>
        <w:t xml:space="preserve">FÁBRICA ÍRIS FICTÍCIA LTDA</w:t>
      </w:r>
      <w:r>
        <w:t xml:space="preserve">. Processo nº 0000035-00.2026.5.15.0000.</w:t>
      </w:r>
    </w:p>
    <w:p>
      <w:pPr>
        <w:pStyle w:val="Secao"/>
      </w:pPr>
      <w:r>
        <w:t xml:space="preserve">I – SÍNTESE DO PROCESSO E DA SENTENÇA</w:t>
      </w:r>
    </w:p>
    <w:p>
      <w:pPr>
        <w:pStyle w:val="Normal"/>
      </w:pPr>
      <w:r>
        <w:t xml:space="preserve">A parte Recorrente ajuizou reclamação trabalhista em face da parte Recorrida, sua empregadora, e o contrato de trabalho prevê salário mensal de R$ 2.400,00 (DOC. 01).</w:t>
      </w:r>
    </w:p>
    <w:p>
      <w:pPr>
        <w:pStyle w:val="Normal"/>
      </w:pPr>
      <w:r>
        <w:t xml:space="preserve">Nos meses de agosto e setembro de 2026, os cartões de ponto registram labor de segunda a sexta-feira, das 08h às 19h, com 1h de intervalo, e a sentença reconheceu a autenticidade desses registros (DOC. 02).</w:t>
      </w:r>
    </w:p>
    <w:p>
      <w:pPr>
        <w:pStyle w:val="Normal"/>
      </w:pPr>
      <w:r>
        <w:t xml:space="preserve">Os contracheques de agosto e setembro de 2026 registram pagamento mensal de R$ 2.000,00 (DOC. 03). A reclamação trabalhista limitou o pedido de diferença salarial a esses dois meses, no total de R$ 800,00.</w:t>
      </w:r>
    </w:p>
    <w:p>
      <w:pPr>
        <w:pStyle w:val="Normal"/>
      </w:pPr>
      <w:r>
        <w:t xml:space="preserve">A sentença rejeitou o pedido de horas extras e reflexos ao fixar jornada diária de oito horas, apesar dos cartões autênticos, e rejeitou a diferença salarial ao considerar salário contratual de R$ 2.000,00. Foi concedida justiça gratuita à parte Recorrente, sem condenação pecuniária dela, e a intimação ocorreu em 01/10/2026.</w:t>
      </w:r>
    </w:p>
    <w:p>
      <w:pPr>
        <w:pStyle w:val="Secao"/>
      </w:pPr>
      <w:r>
        <w:t xml:space="preserve">II – DAS RAZÕES DE REFORMA OU ANULAÇÃO</w:t>
      </w:r>
    </w:p>
    <w:p>
      <w:pPr>
        <w:pStyle w:val="Capitulo"/>
      </w:pPr>
      <w:r>
        <w:t xml:space="preserve">II.1 – Reforma do indeferimento das horas extras e dos reflexos decorrentes</w:t>
      </w:r>
    </w:p>
    <w:p>
      <w:pPr>
        <w:pStyle w:val="Normal"/>
      </w:pPr>
      <w:r>
        <w:t xml:space="preserve">A sentença reconheceu a autenticidade dos cartões de ponto, mas lhes negou eficácia ao fixar jornada diária de oito horas. Os registros de agosto e setembro de 2026 mostram labor de segunda a sexta, das 08h às 19h, com 1h de intervalo (DOC. 02). Nessa moldura fática, a jornada efetiva diária é de 10 horas, e não de 8 horas, de modo que a conclusão adotada no capítulo recorrido contraria a própria prova documental valorada.</w:t>
      </w:r>
    </w:p>
    <w:p>
      <w:pPr>
        <w:pStyle w:val="Normal"/>
      </w:pPr>
      <w:r>
        <w:t xml:space="preserve">A limitação legal da jornada diária incide diretamente sobre o caso:</w:t>
      </w:r>
    </w:p>
    <w:p>
      <w:pPr>
        <w:pStyle w:val="Lei"/>
      </w:pPr>
      <w:r>
        <w:t xml:space="preserve">"Art. 58 - A duração normal do trabalho, para os empregados em qualquer atividade privada, não excederá de 8 (oito) horas diárias, desde que não seja fixado expressamente outro limite." (</w:t>
      </w:r>
      <w:r>
        <w:t xml:space="preserve">art. 58 da CLT</w:t>
      </w:r>
      <w:r>
        <w:t xml:space="preserve">)</w:t>
      </w:r>
    </w:p>
    <w:p>
      <w:pPr>
        <w:pStyle w:val="Normal"/>
      </w:pPr>
      <w:r>
        <w:t xml:space="preserve">Reconhecida pela própria sentença a validade dos controles de jornada, são devidas as horas excedentes à jornada legal, com o adicional legal, nos termos de </w:t>
      </w:r>
      <w:r>
        <w:t xml:space="preserve">art. 59 da CLT</w:t>
      </w:r>
      <w:r>
        <w:t xml:space="preserve">, afastando-se o fundamento usado para indeferir o pedido principal. Pelo mesmo motivo, também deve ser reformado o indeferimento dos reflexos, porque estes foram rejeitados apenas em razão da negativa das horas extras. Assim, a parte Recorrida deve ser condenada ao pagamento das horas extraordinárias apuradas a partir dos cartões (DOC. 02), com reflexos em férias acrescidas de 1/3, 13º salário e FGTS, este na forma de </w:t>
      </w:r>
      <w:r>
        <w:t xml:space="preserve">art. 15 da Lei nº 8.036/90</w:t>
      </w:r>
      <w:r>
        <w:t xml:space="preserve">, tudo nos limites da inicial e com apuração em liquidação.</w:t>
      </w:r>
    </w:p>
    <w:p>
      <w:pPr>
        <w:pStyle w:val="Capitulo"/>
      </w:pPr>
      <w:r>
        <w:t xml:space="preserve">II.2 – Reforma do indeferimento da diferença salarial de agosto e setembro de 2026</w:t>
      </w:r>
    </w:p>
    <w:p>
      <w:pPr>
        <w:pStyle w:val="Normal"/>
      </w:pPr>
      <w:r>
        <w:t xml:space="preserve">O contrato de trabalho fixa salário mensal de R$ 2.400,00 (DOC. 01), enquanto os contracheques de agosto e setembro de 2026 registram pagamento de apenas R$ 2.000,00 em cada mês (DOC. 03). A sentença, porém, tomou o valor efetivamente pago como se fosse o salário contratual e, com isso, rejeitou a diferença salarial. Há erro no capítulo, porque o parâmetro devido é o salário ajustado entre as partes, e não a quantia inferior unilateralmente adimplida pela parte Recorrida.</w:t>
      </w:r>
    </w:p>
    <w:p>
      <w:pPr>
        <w:pStyle w:val="Normal"/>
      </w:pPr>
      <w:r>
        <w:t xml:space="preserve">A importância fixa estipulada integra o salário, nos termos de </w:t>
      </w:r>
      <w:r>
        <w:t xml:space="preserve">art. 457 da CLT</w:t>
      </w:r>
      <w:r>
        <w:t xml:space="preserve">, e o pagamento a menor não altera a obrigação contratual assumida. Além disso, a proteção legal ao salário veda sua redução por ato do empregador nas hipóteses não autorizadas em lei:</w:t>
      </w:r>
    </w:p>
    <w:p>
      <w:pPr>
        <w:pStyle w:val="Lei"/>
      </w:pPr>
      <w:r>
        <w:t xml:space="preserve">"Art. 462 - Ao empregador é vedado efetuar qualquer desconto nos salários do empregado, salvo quando este resultar de adiantamentos, de dispositivos de lei ou de contrato coletivo." (</w:t>
      </w:r>
      <w:r>
        <w:t xml:space="preserve">art. 462, caput, da CLT</w:t>
      </w:r>
      <w:r>
        <w:t xml:space="preserve">)</w:t>
      </w:r>
    </w:p>
    <w:p>
      <w:pPr>
        <w:pStyle w:val="Normal"/>
      </w:pPr>
      <w:r>
        <w:t xml:space="preserve">Assim, os contracheques demonstram inadimplemento parcial, e não novo salário contratual. Limitado o pedido, como na RECLAMAÇÃO TRABALHISTA, aos meses de agosto e setembro de 2026, é devida a condenação da parte Recorrida ao pagamento das diferenças salariais correspondentes, no total de R$ 800,00.</w:t>
      </w:r>
    </w:p>
    <w:p>
      <w:pPr>
        <w:pStyle w:val="Secao"/>
      </w:pPr>
      <w:r>
        <w:t xml:space="preserve">III – DOS PEDIDOS</w:t>
      </w:r>
    </w:p>
    <w:p>
      <w:pPr>
        <w:pStyle w:val="Normal"/>
      </w:pPr>
      <w:r>
        <w:t xml:space="preserve">Ante o exposto, requer a parte Recorrente:</w:t>
      </w:r>
    </w:p>
    <w:p>
      <w:pPr>
        <w:pStyle w:val="Normal"/>
      </w:pPr>
      <w:r>
        <w:t xml:space="preserve">a) o conhecimento do presente recurso ordinário, com a intimação da parte Recorrida para apresentar contrarrazões e a remessa dos autos ao Tribunal Regional do Trabalho da 15ª Região;</w:t>
      </w:r>
    </w:p>
    <w:p>
      <w:pPr>
        <w:pStyle w:val="Normal"/>
      </w:pPr>
      <w:r>
        <w:t xml:space="preserve">b) o provimento do recurso para reformar o capítulo da sentença que indeferiu as horas extras, condenando a parte Recorrida ao pagamento das horas excedentes à jornada legal, com adicional legal, nos limites da inicial e com apuração em liquidação;</w:t>
      </w:r>
    </w:p>
    <w:p>
      <w:pPr>
        <w:pStyle w:val="Normal"/>
      </w:pPr>
      <w:r>
        <w:t xml:space="preserve">c) em decorrência da reforma do capítulo das horas extras, a condenação da parte Recorrida ao pagamento dos reflexos correspondentes em férias acrescidas de 1/3, 13º salário e FGTS, conforme postulado na reclamação trabalhista;</w:t>
      </w:r>
    </w:p>
    <w:p>
      <w:pPr>
        <w:pStyle w:val="Normal"/>
      </w:pPr>
      <w:r>
        <w:t xml:space="preserve">d) o provimento do recurso para reformar o capítulo da sentença que indeferiu a diferença salarial, condenando a parte Recorrida ao pagamento das diferenças salariais dos meses de agosto e setembro de 2026, no total de R$ 800,00;</w:t>
      </w:r>
    </w:p>
    <w:p>
      <w:pPr>
        <w:pStyle w:val="Normal"/>
      </w:pPr>
      <w:r>
        <w:t xml:space="preserve">e) a preservação da justiça gratuita já concedida à parte Recorrente e dos capítulos favoráveis da sentença que não foram objeto de impugnação.</w:t>
      </w:r>
    </w:p>
    <w:p>
      <w:pPr>
        <w:pStyle w:val="Centro"/>
      </w:pPr>
      <w:r>
        <w:t xml:space="preserve">Nestes termos, pede deferimento.</w:t>
      </w:r>
    </w:p>
    <w:p>
      <w:pPr>
        <w:pStyle w:val="Centro"/>
      </w:pPr>
      <w:r>
        <w:rPr>
          <w:b/>
          <w:highlight w:val="yellow"/>
        </w:rPr>
        <w:t xml:space="preserve">[PREENCHER: local e data]</w:t>
      </w:r>
    </w:p>
    <w:p>
      <w:pPr>
        <w:pStyle w:val="Centro"/>
      </w:pPr>
      <w:r>
        <w:rPr>
          <w:b/>
          <w:highlight w:val="yellow"/>
        </w:rPr>
        <w:t xml:space="preserve">[PREENCHER: nome do advogado e número da OAB]</w:t>
      </w:r>
    </w:p>
    <w:p>
      <w:pPr>
        <w:pStyle w:val="Secao"/>
      </w:pPr>
      <w:r>
        <w:t xml:space="preserve">DOCUMENTOS ANEXOS</w:t>
      </w:r>
    </w:p>
    <w:p>
      <w:pPr>
        <w:pStyle w:val="Normal"/>
      </w:pPr>
      <w:r>
        <w:t xml:space="preserve">DOC. 01 – Contrato de trabalho fictício</w:t>
      </w:r>
    </w:p>
    <w:p>
      <w:pPr>
        <w:pStyle w:val="Normal"/>
      </w:pPr>
      <w:r>
        <w:t xml:space="preserve">DOC. 02 – Cartões de ponto fictício</w:t>
      </w:r>
    </w:p>
    <w:p>
      <w:pPr>
        <w:pStyle w:val="Normal"/>
      </w:pPr>
      <w:r>
        <w:t xml:space="preserve">DOC. 03 – Contracheques fictício</w:t>
      </w:r>
    </w:p>
    <w:p>
      <w:pPr>
        <w:pStyle w:val="Normal"/>
      </w:pPr>
      <w:r>
        <w:t xml:space="preserve">DOC. 04 – Procuração fictícia</w:t>
      </w:r>
    </w:p>
    <w:sectPr>
      <w:pgSz w:w="11906" w:h="16838"/>
      <w:pgMar w:top="1701" w:right="1134" w:bottom="1134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pt-BR"/>
      </w:rPr>
    </w:rPrDefault>
    <w:pPrDefault>
      <w:pPr>
        <w:spacing w:after="160" w:line="360" w:lineRule="auto"/>
        <w:jc w:val="both"/>
      </w:pPr>
    </w:pPrDefault>
  </w:docDefaults>
  <w:style w:type="paragraph" w:default="1" w:styleId="Normal">
    <w:name w:val="Normal"/>
    <w:pPr>
      <w:ind w:firstLine="1418"/>
    </w:pPr>
  </w:style>
  <w:style w:type="paragraph" w:styleId="Enderecamento">
    <w:name w:val="Endereçamento"/>
    <w:basedOn w:val="Normal"/>
    <w:pPr>
      <w:spacing w:after="960"/>
      <w:ind w:firstLine="0"/>
    </w:pPr>
    <w:rPr>
      <w:b/>
    </w:rPr>
  </w:style>
  <w:style w:type="paragraph" w:styleId="Secao">
    <w:name w:val="Seção"/>
    <w:basedOn w:val="Normal"/>
    <w:pPr>
      <w:keepNext/>
      <w:spacing w:before="360" w:after="160"/>
      <w:ind w:firstLine="0"/>
      <w:jc w:val="left"/>
      <w:outlineLvl w:val="0"/>
    </w:pPr>
    <w:rPr>
      <w:b/>
    </w:rPr>
  </w:style>
  <w:style w:type="paragraph" w:styleId="Capitulo">
    <w:name w:val="Capítulo"/>
    <w:basedOn w:val="Normal"/>
    <w:pPr>
      <w:keepNext/>
      <w:spacing w:before="240" w:after="160"/>
      <w:ind w:firstLine="0"/>
      <w:jc w:val="left"/>
      <w:outlineLvl w:val="1"/>
    </w:pPr>
    <w:rPr>
      <w:b/>
    </w:rPr>
  </w:style>
  <w:style w:type="paragraph" w:styleId="Lei">
    <w:name w:val="Lei transcrita"/>
    <w:basedOn w:val="Normal"/>
    <w:pPr>
      <w:spacing w:after="120" w:line="240" w:lineRule="auto"/>
      <w:ind w:left="2268" w:firstLine="0"/>
    </w:pPr>
    <w:rPr>
      <w:sz w:val="20"/>
      <w:szCs w:val="20"/>
    </w:rPr>
  </w:style>
  <w:style w:type="paragraph" w:styleId="Centro">
    <w:name w:val="Centralizado"/>
    <w:basedOn w:val="Normal"/>
    <w:pPr>
      <w:ind w:firstLine="0"/>
      <w:jc w:val="center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